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804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04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Fahnemann Thomas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Magnera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MAGN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9335 HARRIS CORNERS PKWY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28269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12,998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12,998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12,998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Not applicable to this transaction. RSUs have no value until all restrictions lapse on the final vesting date.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2. This 2026 Director grant vests in full and all restrictions lapse one year from the Grant Date.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Laura A. Jones,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fact for Thomas Fahnemann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43784" TargetMode="External"/><Relationship Id="rId14" Type="http://schemas.openxmlformats.org/officeDocument/2006/relationships/hyperlink" Target="http://www.sec.gov/cgi-bin/browse-edgar?action=getcompany&amp;CIK=00000417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2026-03-10T10:37:32Z</dcterms:created>
  <dcterms:modified xsi:type="dcterms:W3CDTF">2026-03-10T10:37:32Z</dcterms:modified>
</cp:coreProperties>
</file>