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9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15(d) of the Securities Exchange Act of 1934</w:t>
      </w:r>
    </w:p>
    <w:p>
      <w:pPr>
        <w:spacing w:after="0" w:line="200" w:lineRule="exact"/>
        <w:rPr>
          <w:sz w:val="24"/>
          <w:szCs w:val="24"/>
          <w:color w:val="auto"/>
        </w:rPr>
      </w:pPr>
    </w:p>
    <w:p>
      <w:pPr>
        <w:spacing w:after="0" w:line="3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62"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3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15(d) of the Securities Exchange Act of 1934</w:t>
      </w:r>
    </w:p>
    <w:p>
      <w:pPr>
        <w:spacing w:after="0" w:line="2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For the transition period from ____________ to ____________</w:t>
      </w:r>
    </w:p>
    <w:p>
      <w:pPr>
        <w:spacing w:after="0" w:line="200" w:lineRule="exact"/>
        <w:rPr>
          <w:sz w:val="24"/>
          <w:szCs w:val="24"/>
          <w:color w:val="auto"/>
        </w:rPr>
      </w:pPr>
    </w:p>
    <w:p>
      <w:pPr>
        <w:spacing w:after="0" w:line="22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Commission file number 1-03560</w:t>
      </w:r>
    </w:p>
    <w:p>
      <w:pPr>
        <w:spacing w:after="0" w:line="3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288" w:lineRule="exact"/>
        <w:rPr>
          <w:sz w:val="24"/>
          <w:szCs w:val="24"/>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title of the plan and the address of the plan, if different from that of the issuer named below:</w:t>
      </w:r>
    </w:p>
    <w:p>
      <w:pPr>
        <w:spacing w:after="0" w:line="237" w:lineRule="exact"/>
        <w:rPr>
          <w:sz w:val="24"/>
          <w:szCs w:val="24"/>
          <w:color w:val="auto"/>
        </w:rPr>
      </w:pPr>
    </w:p>
    <w:p>
      <w:pPr>
        <w:jc w:val="right"/>
        <w:ind w:right="1099"/>
        <w:spacing w:after="0"/>
        <w:rPr>
          <w:sz w:val="20"/>
          <w:szCs w:val="20"/>
          <w:color w:val="auto"/>
        </w:rPr>
      </w:pPr>
      <w:r>
        <w:rPr>
          <w:rFonts w:ascii="Times New Roman" w:cs="Times New Roman" w:eastAsia="Times New Roman" w:hAnsi="Times New Roman"/>
          <w:sz w:val="29"/>
          <w:szCs w:val="29"/>
          <w:b w:val="1"/>
          <w:bCs w:val="1"/>
          <w:color w:val="auto"/>
        </w:rPr>
        <w:t>MAGNERA CORPORATION 401(K) SAVINGS PLAN</w:t>
      </w:r>
    </w:p>
    <w:p>
      <w:pPr>
        <w:spacing w:after="0" w:line="312" w:lineRule="exact"/>
        <w:rPr>
          <w:sz w:val="24"/>
          <w:szCs w:val="24"/>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 of the securities held pursuant to the plan and the address of its principal executive office:</w:t>
      </w:r>
    </w:p>
    <w:p>
      <w:pPr>
        <w:spacing w:after="0" w:line="21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9"/>
          <w:szCs w:val="29"/>
          <w:b w:val="1"/>
          <w:bCs w:val="1"/>
          <w:color w:val="auto"/>
        </w:rPr>
        <w:t>MAGNERA CORPORATION</w:t>
      </w:r>
    </w:p>
    <w:p>
      <w:pPr>
        <w:spacing w:after="0" w:line="28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9335 Harris Corners Parkway, Suite 300</w:t>
      </w:r>
    </w:p>
    <w:p>
      <w:pPr>
        <w:spacing w:after="0" w:line="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Charlotte, North Carolina 28269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415925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510540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378"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Magnera Corporation 401(k) Savings Plan</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 and 2024</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380" w:type="dxa"/>
            <w:vAlign w:val="bottom"/>
          </w:tcPr>
          <w:p>
            <w:pPr>
              <w:spacing w:after="0"/>
              <w:rPr>
                <w:sz w:val="18"/>
                <w:szCs w:val="18"/>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0"/>
        </w:trPr>
        <w:tc>
          <w:tcPr>
            <w:tcW w:w="10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43"/>
        </w:trPr>
        <w:tc>
          <w:tcPr>
            <w:tcW w:w="10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30"/>
        </w:trPr>
        <w:tc>
          <w:tcPr>
            <w:tcW w:w="10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Statements of Net Assets Available for Benefits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243"/>
        </w:trPr>
        <w:tc>
          <w:tcPr>
            <w:tcW w:w="10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Statements of Changes in Net Assets Available for Benefits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 –9</w:t>
            </w:r>
          </w:p>
        </w:tc>
      </w:tr>
      <w:tr>
        <w:trPr>
          <w:trHeight w:val="216"/>
        </w:trPr>
        <w:tc>
          <w:tcPr>
            <w:tcW w:w="10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Notes to Financial Statements</w:t>
            </w:r>
          </w:p>
        </w:tc>
        <w:tc>
          <w:tcPr>
            <w:tcW w:w="840" w:type="dxa"/>
            <w:vAlign w:val="bottom"/>
          </w:tcPr>
          <w:p>
            <w:pPr>
              <w:spacing w:after="0"/>
              <w:rPr>
                <w:sz w:val="18"/>
                <w:szCs w:val="18"/>
                <w:color w:val="auto"/>
              </w:rPr>
            </w:pPr>
          </w:p>
        </w:tc>
      </w:tr>
      <w:tr>
        <w:trPr>
          <w:trHeight w:val="243"/>
        </w:trPr>
        <w:tc>
          <w:tcPr>
            <w:tcW w:w="10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Supplementary Information</w:t>
            </w:r>
          </w:p>
        </w:tc>
        <w:tc>
          <w:tcPr>
            <w:tcW w:w="840" w:type="dxa"/>
            <w:vAlign w:val="bottom"/>
          </w:tcPr>
          <w:p>
            <w:pPr>
              <w:spacing w:after="0"/>
              <w:rPr>
                <w:sz w:val="21"/>
                <w:szCs w:val="21"/>
                <w:color w:val="auto"/>
              </w:rPr>
            </w:pPr>
          </w:p>
        </w:tc>
      </w:tr>
      <w:tr>
        <w:trPr>
          <w:trHeight w:val="243"/>
        </w:trPr>
        <w:tc>
          <w:tcPr>
            <w:tcW w:w="10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Schedule H, Line 4(i) - Schedule of Assets (Held at End of Year)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29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Committee and Participants of the Magnera Corporation 401(k) Savings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58"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6"/>
          <w:szCs w:val="16"/>
          <w:color w:val="auto"/>
        </w:rPr>
        <w:t>We have audited the accompanying statements of net assets available for benefits of the Magnera Corporation 401(k) Savings Plan (the Plan) as of December 31, 2025 and 2024, the related statements of changes in net assets available for benefits for the years then ended, and the related notes to the financial statements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48"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17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p>
      <w:pPr>
        <w:spacing w:after="0" w:line="48"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6"/>
          <w:szCs w:val="16"/>
          <w:color w:val="auto"/>
        </w:rPr>
        <w:t>The supplemental information in the accompanying Schedule H, Line 4(i) -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Insero &amp; Co. CPAs, LLP</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Certified Public Accountants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Plan's auditor since 2018.</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Rochester, New York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29, 2026</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Magnera Corporation 401(k) Savings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Statements of Net Assets Available for Benefits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7"/>
        </w:trPr>
        <w:tc>
          <w:tcPr>
            <w:tcW w:w="5480" w:type="dxa"/>
            <w:vAlign w:val="bottom"/>
            <w:vMerge w:val="continue"/>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3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6,432,444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8,508,755</w:t>
            </w:r>
          </w:p>
        </w:tc>
        <w:tc>
          <w:tcPr>
            <w:tcW w:w="0" w:type="dxa"/>
            <w:vAlign w:val="bottom"/>
          </w:tcPr>
          <w:p>
            <w:pPr>
              <w:spacing w:after="0"/>
              <w:rPr>
                <w:sz w:val="1"/>
                <w:szCs w:val="1"/>
                <w:color w:val="auto"/>
              </w:rPr>
            </w:pPr>
          </w:p>
        </w:tc>
      </w:tr>
      <w:tr>
        <w:trPr>
          <w:trHeight w:val="20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78,744,813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75,813,247</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Collective Trusts</w:t>
            </w:r>
          </w:p>
        </w:tc>
        <w:tc>
          <w:tcPr>
            <w:tcW w:w="3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55,077,119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56,061,735</w:t>
            </w:r>
          </w:p>
        </w:tc>
        <w:tc>
          <w:tcPr>
            <w:tcW w:w="0" w:type="dxa"/>
            <w:vAlign w:val="bottom"/>
          </w:tcPr>
          <w:p>
            <w:pPr>
              <w:spacing w:after="0"/>
              <w:rPr>
                <w:sz w:val="1"/>
                <w:szCs w:val="1"/>
                <w:color w:val="auto"/>
              </w:rPr>
            </w:pPr>
          </w:p>
        </w:tc>
      </w:tr>
      <w:tr>
        <w:trPr>
          <w:trHeight w:val="20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Fund</w:t>
            </w: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124,570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210,593</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3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2,123,752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2,068,522</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Net Assets Available for Benefits</w:t>
            </w:r>
          </w:p>
        </w:tc>
        <w:tc>
          <w:tcPr>
            <w:tcW w:w="3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142,502,698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142,662,852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Magnera Corporation 401(k) Savings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Statements of Changes in Net Assets Available for Benefits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99"/>
        </w:trPr>
        <w:tc>
          <w:tcPr>
            <w:tcW w:w="432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Appreciation in Fair Value of Investments</w:t>
            </w:r>
          </w:p>
        </w:tc>
        <w:tc>
          <w:tcPr>
            <w:tcW w:w="43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17,729,577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19,133,368</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Dividends</w:t>
            </w: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1,994,893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2,194,357</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Notes Receivable from Participants</w:t>
            </w:r>
          </w:p>
        </w:tc>
        <w:tc>
          <w:tcPr>
            <w:tcW w:w="4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177,804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165,242</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w:t>
            </w: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Participants</w:t>
            </w:r>
          </w:p>
        </w:tc>
        <w:tc>
          <w:tcPr>
            <w:tcW w:w="4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3,855,429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4,155,439</w:t>
            </w: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Rollovers</w:t>
            </w: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2,030,764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1,011,192</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Employer</w:t>
            </w:r>
          </w:p>
        </w:tc>
        <w:tc>
          <w:tcPr>
            <w:tcW w:w="4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78,502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Contributions</w:t>
            </w:r>
          </w:p>
        </w:tc>
        <w:tc>
          <w:tcPr>
            <w:tcW w:w="4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5,964,695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5,169,060</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Benefits Paid to Participants</w:t>
            </w:r>
          </w:p>
        </w:tc>
        <w:tc>
          <w:tcPr>
            <w:tcW w:w="4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(25,899,100)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(21,287,816)</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 Expenses</w:t>
            </w:r>
          </w:p>
        </w:tc>
        <w:tc>
          <w:tcPr>
            <w:tcW w:w="43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(132,408)</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Increase In Net Assets</w:t>
            </w:r>
          </w:p>
        </w:tc>
        <w:tc>
          <w:tcPr>
            <w:tcW w:w="4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(160,154)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5,241,803</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Available for Benefits</w:t>
            </w: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Beginning of Year</w:t>
            </w:r>
          </w:p>
        </w:tc>
        <w:tc>
          <w:tcPr>
            <w:tcW w:w="4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142,662,852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137,421,049</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End of Year</w:t>
            </w:r>
          </w:p>
        </w:tc>
        <w:tc>
          <w:tcPr>
            <w:tcW w:w="45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142,502,698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142,662,852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See Notes to Financial Statements.</w:t>
            </w:r>
          </w:p>
        </w:tc>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320" w:type="dxa"/>
            <w:vAlign w:val="bottom"/>
            <w:vMerge w:val="continue"/>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320" w:type="dxa"/>
            <w:vAlign w:val="bottom"/>
          </w:tcPr>
          <w:p>
            <w:pPr>
              <w:spacing w:after="0"/>
              <w:rPr>
                <w:sz w:val="24"/>
                <w:szCs w:val="24"/>
                <w:color w:val="auto"/>
              </w:rPr>
            </w:pPr>
          </w:p>
        </w:tc>
        <w:tc>
          <w:tcPr>
            <w:tcW w:w="4380" w:type="dxa"/>
            <w:vAlign w:val="bottom"/>
          </w:tcPr>
          <w:p>
            <w:pPr>
              <w:jc w:val="right"/>
              <w:ind w:right="2966"/>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2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Magnera Corporation 401(k) Savings Plan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rPr>
          <w:sz w:val="20"/>
          <w:szCs w:val="20"/>
          <w:color w:val="auto"/>
        </w:rPr>
      </w:pPr>
      <w:r>
        <w:rPr>
          <w:rFonts w:ascii="Times New Roman" w:cs="Times New Roman" w:eastAsia="Times New Roman" w:hAnsi="Times New Roman"/>
          <w:sz w:val="16"/>
          <w:szCs w:val="16"/>
          <w:b w:val="1"/>
          <w:bCs w:val="1"/>
          <w:color w:val="auto"/>
        </w:rPr>
        <w:t>December 31, 2025 and 2024</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Description of Plan</w:t>
      </w:r>
    </w:p>
    <w:p>
      <w:pPr>
        <w:spacing w:after="0" w:line="206" w:lineRule="exact"/>
        <w:rPr>
          <w:sz w:val="20"/>
          <w:szCs w:val="20"/>
          <w:color w:val="auto"/>
        </w:rPr>
      </w:pPr>
    </w:p>
    <w:p>
      <w:pPr>
        <w:ind w:right="140"/>
        <w:spacing w:after="0" w:line="30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 The following description of the Magnera Corporation 401(k) Savings Plan (the “Plan”) formerly known as Glatfelter 401k Savings Plan, provides only general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Participants should refer to the Plan document for a more complete description of the Plan’s provisions. The Plan covers all eligible employees of legacy Glatfelter Corporation’s “Corporate Group,” which includes the Charlotte, North Carolina and Pennsylvania corporate operations, its Fort Smith (“FS”) Group, its Mount Holly (“MTH”) Group, and its Jacob Holm Plan Participants (“JH”) each as defined in the Plan document, (collectively, the “Company”) who have completed 30 days service.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Merger – </w:t>
      </w:r>
      <w:r>
        <w:rPr>
          <w:rFonts w:ascii="Times New Roman" w:cs="Times New Roman" w:eastAsia="Times New Roman" w:hAnsi="Times New Roman"/>
          <w:sz w:val="16"/>
          <w:szCs w:val="16"/>
          <w:color w:val="auto"/>
        </w:rPr>
        <w:t>On November 4, 2024, Treasure Holdco, Inc., which was a wholly owned subsidiary of Berry Global Group, Inc., completed its merger with the Glatfelter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 which concurrently changed its name to Magnera Corporation. Subsequently, the Treasure Holdco, Inc. 401(k) Plan and its related trust with assets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$189,223,901 were merged with and into the Magnera 401(k) Savings Plan on January 1, 2026. The Plan was amended and restated effective January 1, 2026 primarily to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 amendments made subsequent to the last amendment and restatement of the Plan; to reflect the merger of the Treasure Holdco, Inc. 401(k) Plan with and into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 to reflect changes in the design and operation of the Plan to be implemented beginning in the 2026 plan year; and to reflect additional changes as required or permitted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applicable law.</w:t>
      </w:r>
    </w:p>
    <w:p>
      <w:pPr>
        <w:spacing w:after="0" w:line="258" w:lineRule="exact"/>
        <w:rPr>
          <w:sz w:val="20"/>
          <w:szCs w:val="20"/>
          <w:color w:val="auto"/>
        </w:rPr>
      </w:pPr>
    </w:p>
    <w:p>
      <w:pPr>
        <w:ind w:right="440"/>
        <w:spacing w:after="0" w:line="3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Participation </w:t>
      </w:r>
      <w:r>
        <w:rPr>
          <w:rFonts w:ascii="Times New Roman" w:cs="Times New Roman" w:eastAsia="Times New Roman" w:hAnsi="Times New Roman"/>
          <w:sz w:val="16"/>
          <w:szCs w:val="16"/>
          <w:color w:val="auto"/>
        </w:rPr>
        <w:t>– An employee is eligible to become a participant in the Plan on the first day of the calendar month coinciding with or next following the date eligibility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requirements are met.</w:t>
      </w:r>
    </w:p>
    <w:p>
      <w:pPr>
        <w:spacing w:after="0" w:line="170"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Contributions </w:t>
      </w:r>
      <w:r>
        <w:rPr>
          <w:rFonts w:ascii="Times New Roman" w:cs="Times New Roman" w:eastAsia="Times New Roman" w:hAnsi="Times New Roman"/>
          <w:sz w:val="16"/>
          <w:szCs w:val="16"/>
          <w:color w:val="auto"/>
        </w:rPr>
        <w:t>– Each year, each participant may contribute on a pre-tax basis and/or on a Roth after-tax basis, through payroll deductions, up to 50% of their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defined in the Plan document. The Plan includes an auto-enrollment provision whereby all newly eligible employees are automatically enrolled in the Plan unless they affirmatively elect not to participate in the Plan. Automatically enrolled participants have their deferral rate set at 6% of eligible compensation and their contributions invested in a designated balanced fund until changed by the participant.</w:t>
      </w:r>
    </w:p>
    <w:p>
      <w:pPr>
        <w:spacing w:after="0" w:line="186" w:lineRule="exact"/>
        <w:rPr>
          <w:sz w:val="20"/>
          <w:szCs w:val="20"/>
          <w:color w:val="auto"/>
        </w:rPr>
      </w:pPr>
    </w:p>
    <w:p>
      <w:pPr>
        <w:ind w:right="220"/>
        <w:spacing w:after="0" w:line="316" w:lineRule="auto"/>
        <w:rPr>
          <w:sz w:val="20"/>
          <w:szCs w:val="20"/>
          <w:color w:val="auto"/>
        </w:rPr>
      </w:pPr>
      <w:r>
        <w:rPr>
          <w:rFonts w:ascii="Times New Roman" w:cs="Times New Roman" w:eastAsia="Times New Roman" w:hAnsi="Times New Roman"/>
          <w:sz w:val="16"/>
          <w:szCs w:val="16"/>
          <w:color w:val="auto"/>
        </w:rPr>
        <w:t>The Company provides a discretionary non-elective contribution to all participants (“Discretionary Contribution”). Employees are eligible after completing 30 days of service and only compensation paid after becoming eligible will count for purposes of this contribution. The discretionary contribution as a percent of eligible wages was 3% in 2025 and 7% in 2024.</w:t>
      </w:r>
    </w:p>
    <w:p>
      <w:pPr>
        <w:spacing w:after="0" w:line="191"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6"/>
          <w:szCs w:val="16"/>
          <w:color w:val="auto"/>
        </w:rPr>
        <w:t>Participants who have attained age 50 before the end of the plan year are eligible to make catch-up contributions. The Plan also accepts rollover contributions from other qualified defined benefit or defined contribution plans.</w:t>
      </w:r>
    </w:p>
    <w:p>
      <w:pPr>
        <w:spacing w:after="0" w:line="191" w:lineRule="exact"/>
        <w:rPr>
          <w:sz w:val="20"/>
          <w:szCs w:val="20"/>
          <w:color w:val="auto"/>
        </w:rPr>
      </w:pPr>
    </w:p>
    <w:p>
      <w:pPr>
        <w:ind w:right="20"/>
        <w:spacing w:after="0" w:line="333" w:lineRule="auto"/>
        <w:rPr>
          <w:sz w:val="20"/>
          <w:szCs w:val="20"/>
          <w:color w:val="auto"/>
        </w:rPr>
      </w:pPr>
      <w:r>
        <w:rPr>
          <w:rFonts w:ascii="Times New Roman" w:cs="Times New Roman" w:eastAsia="Times New Roman" w:hAnsi="Times New Roman"/>
          <w:sz w:val="16"/>
          <w:szCs w:val="16"/>
          <w:color w:val="auto"/>
        </w:rPr>
        <w:t>Eligible participants may elect to contribute a portion, or all, of certain bonuses they receive, subject to Internal Revenue Service (“IRS”) mandated maximum contributions, in addition to any payroll deduction savings and Company Discretionary Contributions described above.</w:t>
      </w:r>
    </w:p>
    <w:p>
      <w:pPr>
        <w:spacing w:after="0" w:line="164"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Participants may allocate contributions among available investment options. Employer contributions are made in cash and participants choose the investment funds into which these cash contributions are invested. Participants can change their investment allocations at any time; however, no more than 15% of any contributions may be directed into the Magnera Corporation unitized stock fund (the "Stock Fund"). As of January 17, 2023, investment elections for contributions and transfers into the Stock Fund were prohibited</w:t>
      </w:r>
    </w:p>
    <w:p>
      <w:pPr>
        <w:spacing w:after="0" w:line="206"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Replacement Suspense Account </w:t>
      </w:r>
      <w:r>
        <w:rPr>
          <w:rFonts w:ascii="Times New Roman" w:cs="Times New Roman" w:eastAsia="Times New Roman" w:hAnsi="Times New Roman"/>
          <w:sz w:val="16"/>
          <w:szCs w:val="16"/>
          <w:color w:val="auto"/>
        </w:rPr>
        <w:t>– In connection with the 2019 termination of the overfunded Glatfelter Retirement Plan (the “Pension Plan”), the Plan is intended to serve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a qualified replacement plan within the meaning of section 4980(d) of the Internal Revenue Code. As such, the Plan established a suspense account (the “Replacement Suspense Account”) which includes reversionary excess Pension Plan assets into the Replacement Suspense Account. Monies available in the Replacement Suspense Account will be allocated to participant accounts to fund the Discretionary Contributions discussed above in Note 1. During 2025 and 2024, $1,211,358 and $4,006,683, respectively, from the Replacement Suspense Account was used to fund employer Discretionary Contributions and the balance in the Replacement Suspense Account was $67 and $1,189,203 at December 31, 2025 and 2024, respectively.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5" w:right="359" w:bottom="1440" w:gutter="0" w:footer="0" w:header="0"/>
        </w:sectPr>
      </w:pPr>
    </w:p>
    <w:bookmarkStart w:id="6" w:name="page7"/>
    <w:bookmarkEnd w:id="6"/>
    <w:p>
      <w:pPr>
        <w:ind w:right="40"/>
        <w:spacing w:after="0" w:line="31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Participant Accounts and Vesting </w:t>
      </w:r>
      <w:r>
        <w:rPr>
          <w:rFonts w:ascii="Times New Roman" w:cs="Times New Roman" w:eastAsia="Times New Roman" w:hAnsi="Times New Roman"/>
          <w:sz w:val="16"/>
          <w:szCs w:val="16"/>
          <w:color w:val="auto"/>
        </w:rPr>
        <w:t>– Participant payroll deduction contributions, rollover contributions, catch-up contributions, and profit sharing deferral contributions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fully vested upon receipt by the Plan. For Corporate Group employees, Company matching contributions are subject to a graded vesting schedule through which a participant becomes fully vested after attaining five years of service as follows:</w:t>
      </w:r>
    </w:p>
    <w:p>
      <w:pPr>
        <w:spacing w:after="0" w:line="173" w:lineRule="exact"/>
        <w:rPr>
          <w:sz w:val="20"/>
          <w:szCs w:val="20"/>
          <w:color w:val="auto"/>
        </w:rPr>
      </w:pPr>
    </w:p>
    <w:tbl>
      <w:tblPr>
        <w:tblLayout w:type="fixed"/>
        <w:tblInd w:w="2820" w:type="dxa"/>
        <w:tblCellMar>
          <w:top w:w="0" w:type="dxa"/>
          <w:left w:w="0" w:type="dxa"/>
          <w:bottom w:w="0" w:type="dxa"/>
          <w:right w:w="0" w:type="dxa"/>
        </w:tblCellMar>
      </w:tblPr>
      <w:tr>
        <w:trPr>
          <w:trHeight w:val="215"/>
        </w:trPr>
        <w:tc>
          <w:tcPr>
            <w:tcW w:w="29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Years of Vesting Service</w:t>
            </w:r>
          </w:p>
        </w:tc>
        <w:tc>
          <w:tcPr>
            <w:tcW w:w="264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Vesting Percentage</w:t>
            </w:r>
          </w:p>
        </w:tc>
      </w:tr>
      <w:tr>
        <w:trPr>
          <w:trHeight w:val="207"/>
        </w:trPr>
        <w:tc>
          <w:tcPr>
            <w:tcW w:w="2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Less than 2 years</w:t>
            </w:r>
          </w:p>
        </w:tc>
        <w:tc>
          <w:tcPr>
            <w:tcW w:w="360" w:type="dxa"/>
            <w:vAlign w:val="bottom"/>
          </w:tcPr>
          <w:p>
            <w:pPr>
              <w:spacing w:after="0"/>
              <w:rPr>
                <w:sz w:val="17"/>
                <w:szCs w:val="17"/>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29"/>
        </w:trPr>
        <w:tc>
          <w:tcPr>
            <w:tcW w:w="2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 years</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2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3 years</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230"/>
        </w:trPr>
        <w:tc>
          <w:tcPr>
            <w:tcW w:w="2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 years</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229"/>
        </w:trPr>
        <w:tc>
          <w:tcPr>
            <w:tcW w:w="2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5 or more years</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FS employees become fully vested in matching and fixed employer contributions upon attaining 3 years of service and are 0% vested until that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all participants, the Company Discretionary Contributions are 100% vested after three years.</w:t>
      </w:r>
    </w:p>
    <w:p>
      <w:pPr>
        <w:spacing w:after="0" w:line="221"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6"/>
          <w:szCs w:val="16"/>
          <w:color w:val="auto"/>
        </w:rPr>
        <w:t>Each participant’s account is credited with or debited by, as applicable, (a) the participant’s contributions, (b) allocations of the Company’s contributions, (c) applicable earnings (losses), and (d) an allocation of any Plan administrative expenses that are paid by the Plan, each based on eligible compensation, account balances, or specific participant transactions, as defined. The benefit to which a participant is entitled is equal to the participant’s vested account.</w:t>
      </w:r>
    </w:p>
    <w:p>
      <w:pPr>
        <w:spacing w:after="0" w:line="2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Forfeitures - </w:t>
      </w:r>
      <w:r>
        <w:rPr>
          <w:rFonts w:ascii="Times New Roman" w:cs="Times New Roman" w:eastAsia="Times New Roman" w:hAnsi="Times New Roman"/>
          <w:sz w:val="16"/>
          <w:szCs w:val="16"/>
          <w:color w:val="auto"/>
        </w:rPr>
        <w:t>Forfeited balances of terminated participants’ non-vested accounts may be used to reduce future Company contributions, or pay Plan administrative expenses.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During 2025 and 2024, Company contributions were reduced by $386,122 and $295,840, respectively, by forfeitures. At December 31, 2025 and 2024, forfeitures totaled $2,033 and $79,400, respectively.</w:t>
      </w:r>
    </w:p>
    <w:p>
      <w:pPr>
        <w:spacing w:after="0" w:line="15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Benefits </w:t>
      </w:r>
      <w:r>
        <w:rPr>
          <w:rFonts w:ascii="Times New Roman" w:cs="Times New Roman" w:eastAsia="Times New Roman" w:hAnsi="Times New Roman"/>
          <w:sz w:val="16"/>
          <w:szCs w:val="16"/>
          <w:color w:val="auto"/>
        </w:rPr>
        <w:t>- Upon retirement, disability or death, distributions will be paid as soon as administratively possible in a lump sum or as an annuity. Upon termination of 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than by retirement, disability, or death, a participant will receive a lump sum payment if the total of their vested account balance does not exceed $1,000. If the vested account balance exceeds $1,000, but is less than $7,000, in the absence of specific participant direction, the balance will be distributed in a direct rollover to an Individual Retirement Account of the Plan Administrator’s choosing, set up in the name of the participant. If the vested account balance exceeds $7,000, the assets may remain in the Plan until the participant’s normal or early retirement date. However, terminated participants may elect to receive their vested account balance as soon as administratively possible following termination.</w:t>
      </w:r>
    </w:p>
    <w:p>
      <w:pPr>
        <w:spacing w:after="0" w:line="17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In certain instances, participants may withdraw amounts for an immediate and heavy financial hardship that cannot be reasonably met from other resources or upon obtaining age 59 ½.</w:t>
      </w:r>
    </w:p>
    <w:p>
      <w:pPr>
        <w:spacing w:after="0" w:line="14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Notes Receivable from Participants </w:t>
      </w:r>
      <w:r>
        <w:rPr>
          <w:rFonts w:ascii="Times New Roman" w:cs="Times New Roman" w:eastAsia="Times New Roman" w:hAnsi="Times New Roman"/>
          <w:sz w:val="16"/>
          <w:szCs w:val="16"/>
          <w:color w:val="auto"/>
        </w:rPr>
        <w:t>– Participants may borrow from their accounts a minimum of $1,000 up to a maximum of the lesser of $50,000, or 50%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participant’s vested account balance. Notes receivable are secured by up to 50% of the balance in the participant’s account. Interest is payable at rates based on the prime rate plus 100 basis points at the time the borrowing is approved. As of December 31, 2025, interest rates ranged from 4.25% to 9.5% with maturity dates ranging from</w:t>
      </w:r>
    </w:p>
    <w:p>
      <w:pPr>
        <w:spacing w:after="0" w:line="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2026 to 2037. Terms range from one to five years, or up to 15 years if the note receivable is extended for the purchase of a primary residence. Notes receivable are stated at their unpaid principal plus accrued but unpaid interest.</w:t>
      </w:r>
    </w:p>
    <w:p>
      <w:pPr>
        <w:spacing w:after="0" w:line="15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Administrative Costs </w:t>
      </w:r>
      <w:r>
        <w:rPr>
          <w:rFonts w:ascii="Times New Roman" w:cs="Times New Roman" w:eastAsia="Times New Roman" w:hAnsi="Times New Roman"/>
          <w:sz w:val="16"/>
          <w:szCs w:val="16"/>
          <w:color w:val="auto"/>
        </w:rPr>
        <w:t>– Administrative costs of the Plan are absorbed by the Company, with certain exceptions. Expenses that are paid by the Company are excluded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these financial statements. Fees related to the administration of notes receivable from participants are charged directly to the participant’s account and are included in administrative expenses.</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8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Basis of Presentation </w:t>
      </w:r>
      <w:r>
        <w:rPr>
          <w:rFonts w:ascii="Times New Roman" w:cs="Times New Roman" w:eastAsia="Times New Roman" w:hAnsi="Times New Roman"/>
          <w:sz w:val="16"/>
          <w:szCs w:val="16"/>
          <w:color w:val="auto"/>
        </w:rPr>
        <w:t>– The financial statements of the Plan are prepared on the accrual basis of accounting.</w:t>
      </w:r>
    </w:p>
    <w:p>
      <w:pPr>
        <w:spacing w:after="0" w:line="221"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Use of Estimates </w:t>
      </w:r>
      <w:r>
        <w:rPr>
          <w:rFonts w:ascii="Times New Roman" w:cs="Times New Roman" w:eastAsia="Times New Roman" w:hAnsi="Times New Roman"/>
          <w:sz w:val="16"/>
          <w:szCs w:val="16"/>
          <w:color w:val="auto"/>
        </w:rPr>
        <w:t>– The preparation of financial statements in accordance with accounting principles generally accepted in the United States of America requires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to make estimates and assumptions that affect the reported amounts of assets and liabilities and changes therein, and disclosures of contingent assets and liabilities.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Investments </w:t>
      </w:r>
      <w:r>
        <w:rPr>
          <w:rFonts w:ascii="Times New Roman" w:cs="Times New Roman" w:eastAsia="Times New Roman" w:hAnsi="Times New Roman"/>
          <w:sz w:val="16"/>
          <w:szCs w:val="16"/>
          <w:color w:val="auto"/>
        </w:rPr>
        <w:t>– Investments held in the Plan are stated at fair value. See Note 3 for a discussion of the fair value measurements.</w:t>
      </w:r>
    </w:p>
    <w:p>
      <w:pPr>
        <w:spacing w:after="0" w:line="225"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Purchases and sales of securities are recorded on a trade-date basis. Interest income is recorded on an accrual basis. Dividends are recorded on the ex-dividend date. Net appreciation/depreciation includes gains and losses on investments bought and sold as well as held during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Payment of Benefits – </w:t>
      </w:r>
      <w:r>
        <w:rPr>
          <w:rFonts w:ascii="Times New Roman" w:cs="Times New Roman" w:eastAsia="Times New Roman" w:hAnsi="Times New Roman"/>
          <w:sz w:val="16"/>
          <w:szCs w:val="16"/>
          <w:color w:val="auto"/>
        </w:rPr>
        <w:t>Benefit payments to participants are recorded when paid.</w:t>
      </w:r>
    </w:p>
    <w:p>
      <w:pPr>
        <w:spacing w:after="0" w:line="221" w:lineRule="exact"/>
        <w:rPr>
          <w:sz w:val="20"/>
          <w:szCs w:val="20"/>
          <w:color w:val="auto"/>
        </w:rPr>
      </w:pPr>
    </w:p>
    <w:p>
      <w:pPr>
        <w:jc w:val="both"/>
        <w:ind w:right="4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Fees – </w:t>
      </w:r>
      <w:r>
        <w:rPr>
          <w:rFonts w:ascii="Times New Roman" w:cs="Times New Roman" w:eastAsia="Times New Roman" w:hAnsi="Times New Roman"/>
          <w:sz w:val="16"/>
          <w:szCs w:val="16"/>
          <w:color w:val="auto"/>
        </w:rPr>
        <w:t>Net investment returns reflect certain fees paid by the investment funds to their affiliated investment advisors, transfer agents, and others as further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described in each fund prospectus or other published documents. These fees are deducted prior to allocation of the fund's investment earnings activity and thus are not separately identifiable as an expense.</w:t>
      </w:r>
    </w:p>
    <w:p>
      <w:pPr>
        <w:spacing w:after="0" w:line="51" w:lineRule="exact"/>
        <w:rPr>
          <w:sz w:val="20"/>
          <w:szCs w:val="20"/>
          <w:color w:val="auto"/>
        </w:rPr>
      </w:pPr>
    </w:p>
    <w:p>
      <w:pPr>
        <w:ind w:right="280"/>
        <w:spacing w:after="0" w:line="186" w:lineRule="auto"/>
        <w:rPr>
          <w:sz w:val="20"/>
          <w:szCs w:val="20"/>
          <w:color w:val="auto"/>
        </w:rPr>
      </w:pPr>
      <w:r>
        <w:rPr>
          <w:rFonts w:ascii="Times New Roman" w:cs="Times New Roman" w:eastAsia="Times New Roman" w:hAnsi="Times New Roman"/>
          <w:sz w:val="15"/>
          <w:szCs w:val="15"/>
          <w:b w:val="1"/>
          <w:bCs w:val="1"/>
          <w:i w:val="1"/>
          <w:iCs w:val="1"/>
          <w:color w:val="auto"/>
        </w:rPr>
        <w:t xml:space="preserve">Subsequent Events – </w:t>
      </w:r>
      <w:r>
        <w:rPr>
          <w:rFonts w:ascii="Times New Roman" w:cs="Times New Roman" w:eastAsia="Times New Roman" w:hAnsi="Times New Roman"/>
          <w:sz w:val="15"/>
          <w:szCs w:val="15"/>
          <w:color w:val="auto"/>
        </w:rPr>
        <w:t>The Plan has evaluated subsequent events for potential recognition and/or disclosure through the date of issuance of these financial statements.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previously noted in Note 1, the Plan completed a merger and Plan restatement effective January 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Fair Value Measurements</w:t>
      </w:r>
    </w:p>
    <w:p>
      <w:pPr>
        <w:spacing w:after="0" w:line="2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Plan measures its investments at fair value on a recurring basis in accordance with accounting principles generally accepted in the United States of America. Fair value is defined as the price that would be received to sell an asset or paid to transfer a liability in an orderly transaction between market participants at the measurement date. The framework that the authoritative guidance establishes for measuring fair value includes a hierarchy used to classify the inputs used in measuring fair value. The hierarchy prioritizes the inputs used in determining valuations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07" w:lineRule="exact"/>
        <w:rPr>
          <w:sz w:val="20"/>
          <w:szCs w:val="20"/>
          <w:color w:val="auto"/>
        </w:rPr>
      </w:pPr>
    </w:p>
    <w:p>
      <w:pPr>
        <w:ind w:left="820" w:right="200" w:hanging="579"/>
        <w:spacing w:after="0" w:line="298" w:lineRule="auto"/>
        <w:rPr>
          <w:sz w:val="20"/>
          <w:szCs w:val="20"/>
          <w:color w:val="auto"/>
        </w:rPr>
      </w:pPr>
      <w:r>
        <w:rPr>
          <w:rFonts w:ascii="Times New Roman" w:cs="Times New Roman" w:eastAsia="Times New Roman" w:hAnsi="Times New Roman"/>
          <w:sz w:val="16"/>
          <w:szCs w:val="16"/>
          <w:color w:val="auto"/>
        </w:rPr>
        <w:t>Level 1 Fair value is based on unadjusted quoted prices in active markets that are accessible to the Plan for identical assets. These generally provide the most reliable evidence and are used to measure fair value whenever available.</w:t>
      </w:r>
    </w:p>
    <w:p>
      <w:pPr>
        <w:spacing w:after="0" w:line="205" w:lineRule="exact"/>
        <w:rPr>
          <w:sz w:val="20"/>
          <w:szCs w:val="20"/>
          <w:color w:val="auto"/>
        </w:rPr>
      </w:pPr>
    </w:p>
    <w:p>
      <w:pPr>
        <w:ind w:left="820" w:right="40" w:hanging="579"/>
        <w:spacing w:after="0" w:line="281" w:lineRule="auto"/>
        <w:rPr>
          <w:sz w:val="20"/>
          <w:szCs w:val="20"/>
          <w:color w:val="auto"/>
        </w:rPr>
      </w:pPr>
      <w:r>
        <w:rPr>
          <w:rFonts w:ascii="Times New Roman" w:cs="Times New Roman" w:eastAsia="Times New Roman" w:hAnsi="Times New Roman"/>
          <w:sz w:val="16"/>
          <w:szCs w:val="16"/>
          <w:color w:val="auto"/>
        </w:rPr>
        <w:t>Level 2 Fair value is based on significant inputs, other than Level 1 inputs, that are observable either directly or indirectly for substantially the full term of the asset through corroboration with observable market data. Level 2 inputs include quoted market prices in active markets for similar assets or liabilities, quoted market prices in inactive markets for identical or similar assets, and other observable inputs.</w:t>
      </w:r>
    </w:p>
    <w:p>
      <w:pPr>
        <w:spacing w:after="0" w:line="218" w:lineRule="exact"/>
        <w:rPr>
          <w:sz w:val="20"/>
          <w:szCs w:val="20"/>
          <w:color w:val="auto"/>
        </w:rPr>
      </w:pPr>
    </w:p>
    <w:p>
      <w:pPr>
        <w:ind w:left="820" w:right="160" w:hanging="579"/>
        <w:spacing w:after="0" w:line="298" w:lineRule="auto"/>
        <w:rPr>
          <w:sz w:val="20"/>
          <w:szCs w:val="20"/>
          <w:color w:val="auto"/>
        </w:rPr>
      </w:pPr>
      <w:r>
        <w:rPr>
          <w:rFonts w:ascii="Times New Roman" w:cs="Times New Roman" w:eastAsia="Times New Roman" w:hAnsi="Times New Roman"/>
          <w:sz w:val="16"/>
          <w:szCs w:val="16"/>
          <w:color w:val="auto"/>
        </w:rPr>
        <w:t>Level 3 Fair value is based on significant unobservable inputs. Examples of valuation methodologies that would result in Level 3 classification include option pricing models, discounted cash flows, and similar techniques.</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8" w:name="page9"/>
    <w:bookmarkEnd w:id="8"/>
    <w:p>
      <w:pPr>
        <w:ind w:right="280"/>
        <w:spacing w:after="0" w:line="280" w:lineRule="auto"/>
        <w:rPr>
          <w:sz w:val="20"/>
          <w:szCs w:val="20"/>
          <w:color w:val="auto"/>
        </w:rPr>
      </w:pPr>
      <w:r>
        <w:rPr>
          <w:rFonts w:ascii="Times New Roman" w:cs="Times New Roman" w:eastAsia="Times New Roman" w:hAnsi="Times New Roman"/>
          <w:sz w:val="16"/>
          <w:szCs w:val="16"/>
          <w:color w:val="auto"/>
        </w:rPr>
        <w:t>Following is a description of the valuation methodologies used for assets measured at fair value. There have been no changes in the methodologies used at December 31, 2025 and 2024.</w:t>
      </w:r>
    </w:p>
    <w:p>
      <w:pPr>
        <w:spacing w:after="0" w:line="21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Quoted market prices are used to value money market and mutual fund investments. The Stock Fund is valued at the net value of participation units which are generally valued by the trustee based upon quoted market prices on a recognized securities exchange at the last reported price of the last business day of each year of the underlying assets of the unitized fund, which include common stock of the Company and a money market fund. Common collective trusts are valued at the net asset value (“NAV”) of units of a bank collective trust. The NAV, as provided by the trustee, is used as a practical expedient to estimate fair value.</w:t>
      </w:r>
    </w:p>
    <w:p>
      <w:pPr>
        <w:spacing w:after="0" w:line="23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following tables set forth the Plan’s investments at fair value. Other than investments measured at net asset value, the fair value of all investments are considered Level 1 within the fair value hierarchy: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9"/>
        </w:trPr>
        <w:tc>
          <w:tcPr>
            <w:tcW w:w="8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6,432,444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8,508,755</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78,744,813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75,813,247</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fund</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124,570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210,593</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 measured at fair value – Level 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85,301,827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84,532,595</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collective trusts, at net asset value (a)</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55,077,119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56,061,735</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140,378,946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140,594,330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00" w:right="120" w:hanging="252"/>
        <w:spacing w:after="0" w:line="281"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Subtopic 820-10, certain investments that were measured at net asset value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Plan Termination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While the Company has not expressed any intent to discontinue its contributions or terminate the Plan, it is free to do so at any time in whole or in part.</w:t>
      </w:r>
    </w:p>
    <w:p>
      <w:pPr>
        <w:spacing w:after="0" w:line="2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 the event of a complete or partial termination of the Plan, the accounts of all affected participants become fully vested and non-forfeitable. The trustee will be directed to distribute the assets remaining in the trust fund to or for the exclusive benefit of participants or their beneficiaries in a manner in accordance with ERISA and the terms of the Plan document.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Note 5 - Tax Status</w:t>
      </w:r>
    </w:p>
    <w:p>
      <w:pPr>
        <w:spacing w:after="0" w:line="22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Plan obtained a determination letter on April 6, 2017, in which the IRS stated that the Plan, as then designed, was in compliance with the applicable requirements of the Internal Revenue Code. The Plan has been amended since receiving that determination letter. The Plan Administrator and advisors believe that the Plan is currently designed and being operated in compliance with the applicable requirements of the Internal Revenue Code and that the Plan is qualified and the related trust is exempt from taxes as of the financial statement date.</w:t>
      </w:r>
    </w:p>
    <w:p>
      <w:pPr>
        <w:spacing w:after="0" w:line="16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IRS. The Plan Administrator has analyzed the tax positions taken by the Plan, and has concluded that as of December 31, 2025,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Related Party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Plan provides participants the election of an investment in Magnera Corporation’s common stock through the Stock Fund, a unitized company stock fund.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2024, the Plan held common stock issued by the Company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99"/>
        </w:trPr>
        <w:tc>
          <w:tcPr>
            <w:tcW w:w="8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19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of Magnera Corporation common stock</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11,383</w:t>
            </w: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123,209</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206,829</w:t>
            </w:r>
          </w:p>
        </w:tc>
      </w:tr>
    </w:tbl>
    <w:p>
      <w:pPr>
        <w:spacing w:after="0" w:line="17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2025 and 2024, recordkeeping and investment management fees were netted against net depreciation/appreciation in the Statements of Changes in Net Assets Available for Benefits.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related to the Plan's investments in the Stock Fund.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99"/>
        </w:trPr>
        <w:tc>
          <w:tcPr>
            <w:tcW w:w="46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of the Stock Fund</w:t>
            </w:r>
          </w:p>
        </w:tc>
        <w:tc>
          <w:tcPr>
            <w:tcW w:w="4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91,266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128,465</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Per-unit price</w:t>
            </w:r>
          </w:p>
        </w:tc>
        <w:tc>
          <w:tcPr>
            <w:tcW w:w="4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w:t>
            </w:r>
          </w:p>
        </w:tc>
        <w:tc>
          <w:tcPr>
            <w:tcW w:w="10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Equivalent shares of Magnera Corporation common stock</w:t>
            </w:r>
          </w:p>
        </w:tc>
        <w:tc>
          <w:tcPr>
            <w:tcW w:w="4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11,383</w:t>
            </w:r>
          </w:p>
        </w:tc>
      </w:tr>
      <w:tr>
        <w:trPr>
          <w:trHeight w:val="391"/>
        </w:trPr>
        <w:tc>
          <w:tcPr>
            <w:tcW w:w="4680" w:type="dxa"/>
            <w:vAlign w:val="bottom"/>
          </w:tcPr>
          <w:p>
            <w:pPr>
              <w:spacing w:after="0"/>
              <w:rPr>
                <w:sz w:val="24"/>
                <w:szCs w:val="24"/>
                <w:color w:val="auto"/>
              </w:rPr>
            </w:pPr>
          </w:p>
        </w:tc>
        <w:tc>
          <w:tcPr>
            <w:tcW w:w="4020" w:type="dxa"/>
            <w:vAlign w:val="bottom"/>
          </w:tcPr>
          <w:p>
            <w:pPr>
              <w:jc w:val="right"/>
              <w:ind w:right="2966"/>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
        </w:trPr>
        <w:tc>
          <w:tcPr>
            <w:tcW w:w="46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72" w:right="339" w:bottom="1440" w:gutter="0" w:footer="0" w:header="0"/>
        </w:sectPr>
      </w:pPr>
    </w:p>
    <w:bookmarkStart w:id="10" w:name="page11"/>
    <w:bookmarkEnd w:id="10"/>
    <w:p>
      <w:pPr>
        <w:spacing w:after="0" w:line="271" w:lineRule="auto"/>
        <w:rPr>
          <w:sz w:val="20"/>
          <w:szCs w:val="20"/>
          <w:color w:val="auto"/>
        </w:rPr>
      </w:pPr>
      <w:r>
        <w:rPr>
          <w:rFonts w:ascii="Times New Roman" w:cs="Times New Roman" w:eastAsia="Times New Roman" w:hAnsi="Times New Roman"/>
          <w:sz w:val="16"/>
          <w:szCs w:val="16"/>
          <w:color w:val="auto"/>
        </w:rPr>
        <w:t>Assets held in this fund are expressed in terms of units and not shares of stock. Each unit represents a proportionate interest in all of the assets of this fund. The value of each participant's account is determined each business day by the number of units to the participant's credit, multiplied by the current unit value. The return on the participant's investment is based on the value of units, which, in turn, is determined by the market price of Magnera Corporation common stock and by the interest earned on a percentage of the fund's market value held in a money market fund. Magnera Corporation common stock held by the Plan as of the end of 2025 and 2024 had a market value of $124,570 and $210,593, respectively, invested in the Stock Fund. A percentage of the total market value of the Stock Fund is held in a money market fund to facilitate daily participant trading.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investments in the Plan are in shares of mutual funds and a money market fund that are managed by Fidelity Management Company, the trustee of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the Plan issues notes receivable to participants, which are secured by up to 50% of the balances in the respective participants' accounts.</w:t>
      </w:r>
    </w:p>
    <w:p>
      <w:pPr>
        <w:spacing w:after="0" w:line="221"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above related-party transactions qualify as party-in-interest transactions. All other transactions which may be considered party-in-interest transactions relate to normal Plan management and administrative services, and the related payment of fees.</w:t>
      </w:r>
    </w:p>
    <w:p>
      <w:pPr>
        <w:spacing w:after="0" w:line="15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Purchases made by the Plan for the investment in the Company’s common stock amounted to $0 and $10 for the years ended December 31, 2025 and 2024, respectively. Sales made by the Plan for the investment in the Company’s common stock amounted to $43,581 and $38,656 for the years ended December 31, 2025 and 2024, respectively.</w:t>
      </w:r>
    </w:p>
    <w:p>
      <w:pPr>
        <w:spacing w:after="0" w:line="164"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On December 14, 2022, the Compensation Committee approved an amendment to the Plan whereby, effective as of January 17, 2023, the Stock Fund was frozen to new contributions and participation.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Risks and Uncertainties</w:t>
      </w:r>
    </w:p>
    <w:p>
      <w:pPr>
        <w:spacing w:after="0" w:line="22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Plan invests in various securities including common collective trusts, money market funds, mutual funds, and the Stock Fund. Investment securities in general are exposed to various risks; such as interest rates, credit and overall market volatility. Market risks include global events which could impact the value of investment securities, such as a pandemic or international conflict. Due to the level of risk associated with certain investment securities, it is reasonably possible that changes in the value of investment securities will occur in the near term and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Magnera Corporation 401(k) Savings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Employer Identification Number: 23-0628360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Plan Number: 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w:t>
            </w:r>
          </w:p>
        </w:tc>
        <w:tc>
          <w:tcPr>
            <w:tcW w:w="4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(b)</w:t>
            </w:r>
          </w:p>
        </w:tc>
        <w:tc>
          <w:tcPr>
            <w:tcW w:w="410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(c)</w:t>
            </w:r>
          </w:p>
        </w:tc>
        <w:tc>
          <w:tcPr>
            <w:tcW w:w="152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w:t>
            </w: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w:t>
            </w:r>
          </w:p>
        </w:tc>
      </w:tr>
      <w:tr>
        <w:trPr>
          <w:trHeight w:val="203"/>
        </w:trPr>
        <w:tc>
          <w:tcPr>
            <w:tcW w:w="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100" w:type="dxa"/>
            <w:vAlign w:val="bottom"/>
          </w:tcPr>
          <w:p>
            <w:pPr>
              <w:spacing w:after="0"/>
              <w:rPr>
                <w:sz w:val="17"/>
                <w:szCs w:val="17"/>
                <w:color w:val="auto"/>
              </w:rPr>
            </w:pPr>
          </w:p>
        </w:tc>
        <w:tc>
          <w:tcPr>
            <w:tcW w:w="41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Description of Investment including</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41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Identity of Issuer, Borrower,</w:t>
            </w:r>
          </w:p>
        </w:tc>
        <w:tc>
          <w:tcPr>
            <w:tcW w:w="41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Maturity Date, Rate of Interest,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5"/>
        </w:trPr>
        <w:tc>
          <w:tcPr>
            <w:tcW w:w="4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Lessor, or Similar Party</w:t>
            </w:r>
          </w:p>
        </w:tc>
        <w:tc>
          <w:tcPr>
            <w:tcW w:w="410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Collateral, Par, or Maturity Value</w:t>
            </w:r>
          </w:p>
        </w:tc>
        <w:tc>
          <w:tcPr>
            <w:tcW w:w="152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Current Value</w:t>
            </w:r>
          </w:p>
        </w:tc>
      </w:tr>
      <w:tr>
        <w:trPr>
          <w:trHeight w:val="199"/>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2020</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3,071,586</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2025</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6,277,472</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2030</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10,983,027</w:t>
            </w:r>
          </w:p>
        </w:tc>
      </w:tr>
      <w:tr>
        <w:trPr>
          <w:trHeight w:val="202"/>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2035</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12,843,027</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2040</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7,280,769</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2045</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5,481,352</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2050</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3,226,094</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2055</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2,526,706</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Schwab Indexed Retirement Trust Fund 2060</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Collective Trust</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3,387,086</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Vanguard FTSE Social Index Fund Admiral</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675,738</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Vanguard Total International Stock Index Fund</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3,374,809</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Vanguard Equity Income Admiral Shares</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3,676,216</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Vanguard Federal Money Market Fund</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Vanguard Extended Market Index Fund; Institutional Shares</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8,646,262</w:t>
            </w:r>
          </w:p>
        </w:tc>
      </w:tr>
      <w:tr>
        <w:trPr>
          <w:trHeight w:val="203"/>
        </w:trPr>
        <w:tc>
          <w:tcPr>
            <w:tcW w:w="400" w:type="dxa"/>
            <w:vAlign w:val="bottom"/>
            <w:shd w:val="clear" w:color="auto" w:fill="CCEEFF"/>
          </w:tcPr>
          <w:p>
            <w:pPr>
              <w:spacing w:after="0"/>
              <w:rPr>
                <w:sz w:val="17"/>
                <w:szCs w:val="17"/>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Goldman Sachs Small/Mid Cap Growth Fund; R6</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1,120,687</w:t>
            </w:r>
          </w:p>
        </w:tc>
      </w:tr>
      <w:tr>
        <w:trPr>
          <w:trHeight w:val="203"/>
        </w:trPr>
        <w:tc>
          <w:tcPr>
            <w:tcW w:w="400" w:type="dxa"/>
            <w:vAlign w:val="bottom"/>
          </w:tcPr>
          <w:p>
            <w:pPr>
              <w:spacing w:after="0"/>
              <w:rPr>
                <w:sz w:val="17"/>
                <w:szCs w:val="17"/>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Diamond Hill Small-Mid Cap Fund; Y</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1,767,242</w:t>
            </w:r>
          </w:p>
        </w:tc>
      </w:tr>
      <w:tr>
        <w:trPr>
          <w:trHeight w:val="203"/>
        </w:trPr>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Magnera Corporation</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124,570</w:t>
            </w:r>
          </w:p>
        </w:tc>
      </w:tr>
      <w:tr>
        <w:trPr>
          <w:trHeight w:val="203"/>
        </w:trPr>
        <w:tc>
          <w:tcPr>
            <w:tcW w:w="4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Fidelity Intermediate Bond Fund</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2,988,865</w:t>
            </w:r>
          </w:p>
        </w:tc>
      </w:tr>
      <w:tr>
        <w:trPr>
          <w:trHeight w:val="203"/>
        </w:trPr>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Fidelity Puritan Fund; K</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3,478,003</w:t>
            </w:r>
          </w:p>
        </w:tc>
      </w:tr>
      <w:tr>
        <w:trPr>
          <w:trHeight w:val="203"/>
        </w:trPr>
        <w:tc>
          <w:tcPr>
            <w:tcW w:w="4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Fidelity US Bond Index Fund</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2,313,980</w:t>
            </w:r>
          </w:p>
        </w:tc>
      </w:tr>
      <w:tr>
        <w:trPr>
          <w:trHeight w:val="203"/>
        </w:trPr>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Fidelity 500 Index Fund</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26,088,555</w:t>
            </w:r>
          </w:p>
        </w:tc>
      </w:tr>
      <w:tr>
        <w:trPr>
          <w:trHeight w:val="203"/>
        </w:trPr>
        <w:tc>
          <w:tcPr>
            <w:tcW w:w="4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Fidelity Government Money Market Fund Premium Class</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6,432,376</w:t>
            </w:r>
          </w:p>
        </w:tc>
      </w:tr>
      <w:tr>
        <w:trPr>
          <w:trHeight w:val="203"/>
        </w:trPr>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Fidelity Large Cap Growth Index Fund</w:t>
            </w: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24,614,456</w:t>
            </w:r>
          </w:p>
        </w:tc>
      </w:tr>
      <w:tr>
        <w:trPr>
          <w:trHeight w:val="203"/>
        </w:trPr>
        <w:tc>
          <w:tcPr>
            <w:tcW w:w="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Participant Loans</w:t>
            </w: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4.25% - 9.50%; maturing 2026 through 2037</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2,123,752</w:t>
            </w:r>
          </w:p>
        </w:tc>
      </w:tr>
      <w:tr>
        <w:trPr>
          <w:trHeight w:val="196"/>
        </w:trPr>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142,502,698</w:t>
            </w: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party-in-interest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i w:val="1"/>
          <w:iCs w:val="1"/>
          <w:color w:val="auto"/>
        </w:rPr>
        <w:t>The Plan</w:t>
      </w:r>
      <w:r>
        <w:rPr>
          <w:rFonts w:ascii="Times New Roman" w:cs="Times New Roman" w:eastAsia="Times New Roman" w:hAnsi="Times New Roman"/>
          <w:sz w:val="16"/>
          <w:szCs w:val="16"/>
          <w:color w:val="auto"/>
        </w:rPr>
        <w:t>. Pursuant to the requirements of the Securities Act of 1934, the trustees (or other persons who administer the employee benefit plan) have duly caused this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 to be signed on its behalf by the undersigned hereunto duly authorized.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8180" w:type="dxa"/>
            <w:vAlign w:val="bottom"/>
            <w:gridSpan w:val="2"/>
          </w:tcPr>
          <w:p>
            <w:pPr>
              <w:ind w:left="2160"/>
              <w:spacing w:after="0"/>
              <w:rPr>
                <w:sz w:val="20"/>
                <w:szCs w:val="20"/>
                <w:color w:val="auto"/>
              </w:rPr>
            </w:pPr>
            <w:r>
              <w:rPr>
                <w:rFonts w:ascii="Times New Roman" w:cs="Times New Roman" w:eastAsia="Times New Roman" w:hAnsi="Times New Roman"/>
                <w:sz w:val="16"/>
                <w:szCs w:val="16"/>
                <w:b w:val="1"/>
                <w:bCs w:val="1"/>
                <w:color w:val="auto"/>
              </w:rPr>
              <w:t>MAGNERA CORPORATION 401(K) SAVINGS PLAN</w:t>
            </w:r>
          </w:p>
        </w:tc>
      </w:tr>
      <w:tr>
        <w:trPr>
          <w:trHeight w:val="4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29, 2026</w:t>
            </w:r>
          </w:p>
        </w:tc>
        <w:tc>
          <w:tcPr>
            <w:tcW w:w="244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By:</w:t>
            </w:r>
          </w:p>
        </w:tc>
        <w:tc>
          <w:tcPr>
            <w:tcW w:w="5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 Amanda D. Hart</w:t>
            </w:r>
          </w:p>
        </w:tc>
      </w:tr>
      <w:tr>
        <w:trPr>
          <w:trHeight w:val="203"/>
        </w:trPr>
        <w:tc>
          <w:tcPr>
            <w:tcW w:w="30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Amanda D. Hart</w:t>
            </w:r>
          </w:p>
        </w:tc>
      </w:tr>
      <w:tr>
        <w:trPr>
          <w:trHeight w:val="210"/>
        </w:trPr>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Executive Vice President, Global Human Resources</w:t>
            </w:r>
          </w:p>
        </w:tc>
      </w:tr>
      <w:tr>
        <w:trPr>
          <w:trHeight w:val="397"/>
        </w:trPr>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740" w:type="dxa"/>
            <w:vAlign w:val="bottom"/>
          </w:tcPr>
          <w:p>
            <w:pPr>
              <w:jc w:val="right"/>
              <w:ind w:right="5482"/>
              <w:spacing w:after="0"/>
              <w:rPr>
                <w:sz w:val="20"/>
                <w:szCs w:val="20"/>
                <w:color w:val="auto"/>
              </w:rPr>
            </w:pPr>
            <w:r>
              <w:rPr>
                <w:rFonts w:ascii="Times New Roman" w:cs="Times New Roman" w:eastAsia="Times New Roman" w:hAnsi="Times New Roman"/>
                <w:sz w:val="13"/>
                <w:szCs w:val="13"/>
                <w:color w:val="auto"/>
              </w:rPr>
              <w:t>11</w:t>
            </w:r>
          </w:p>
        </w:tc>
      </w:tr>
      <w:tr>
        <w:trPr>
          <w:trHeight w:val="62"/>
        </w:trPr>
        <w:tc>
          <w:tcPr>
            <w:tcW w:w="306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72"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012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vMerge w:val="continue"/>
          </w:tcPr>
          <w:p>
            <w:pPr>
              <w:spacing w:after="0"/>
              <w:rPr>
                <w:sz w:val="20"/>
                <w:szCs w:val="20"/>
                <w:color w:val="auto"/>
              </w:rPr>
            </w:pPr>
          </w:p>
        </w:tc>
        <w:tc>
          <w:tcPr>
            <w:tcW w:w="1012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20" w:type="dxa"/>
            <w:vAlign w:val="bottom"/>
            <w:tcBorders>
              <w:left w:val="single" w:sz="8" w:color="auto"/>
              <w:bottom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Insero &amp; Co. CPAs, LLP, Independent Registered Public Accounting Firm, filed herewith.</w:t>
      </w:r>
    </w:p>
    <w:p>
      <w:pPr>
        <w:sectPr>
          <w:pgSz w:w="11900" w:h="16838" w:orient="portrait"/>
          <w:cols w:equalWidth="0" w:num="1">
            <w:col w:w="11240"/>
          </w:cols>
          <w:pgMar w:left="320" w:top="27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0"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333-62331 and 333-26587) on Form S-8 of Magnera Corporation of our report dated June 29, 2026 relating to our audit of the financial statements and supplemental schedule of the Magnera Corporation 401(k) Savings Plan, which appears in this Annual Report on Form 11-K of Magnera Corporation 401(k) Savings Plan for the year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Insero &amp; Co. CPAs,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2026-06-29T13:48:45Z</dcterms:created>
  <dcterms:modified xsi:type="dcterms:W3CDTF">2026-06-29T13:48:45Z</dcterms:modified>
</cp:coreProperties>
</file>