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324" w:before="0" w:after="20"/>
        <w:jc w:val="center"/>
        <w:rPr>
          <w:rFonts w:ascii="Times New Roman" w:hAnsi="Times New Roman"/>
          <w:sz w:val="24"/>
        </w:rPr>
      </w:pPr>
      <w:bookmarkStart w:id="0" w:name="magn-20250806.htm"/>
      <w:bookmarkStart w:id="1" w:name="ksmagn20250806"/>
      <w:bookmarkEnd w:id="0"/>
      <w:bookmarkEnd w:id="1"/>
      <w:r>
        <w:rPr>
          <w:rFonts w:ascii="Times New Roman" w:hAnsi="Times New Roman"/>
          <w:b/>
          <w:sz w:val="24"/>
        </w:rPr>
        <w:t>UNITED STATES</w:t>
      </w:r>
      <w:r>
        <w:rPr>
          <w:rFonts w:ascii="Times New Roman" w:hAnsi="Times New Roman"/>
          <w:sz w:val="24"/>
        </w:rPr>
        <w:t xml:space="preserve"> </w:t>
      </w:r>
    </w:p>
    <w:p>
      <w:pPr>
        <w:pStyle w:val="TextBody"/>
        <w:bidi w:val="0"/>
        <w:spacing w:lineRule="auto" w:line="324" w:before="0" w:after="0"/>
        <w:jc w:val="center"/>
        <w:rPr>
          <w:rFonts w:ascii="Times New Roman" w:hAnsi="Times New Roman"/>
          <w:sz w:val="24"/>
        </w:rPr>
      </w:pPr>
      <w:r>
        <w:rPr>
          <w:rFonts w:ascii="Times New Roman" w:hAnsi="Times New Roman"/>
          <w:b/>
          <w:sz w:val="24"/>
        </w:rPr>
        <w:t>SECURITIES AND EXCHANGE COMMISSION</w:t>
      </w:r>
      <w:r>
        <w:rPr>
          <w:rFonts w:ascii="Times New Roman" w:hAnsi="Times New Roman"/>
          <w:sz w:val="24"/>
        </w:rPr>
        <w:t xml:space="preserve"> </w:t>
      </w:r>
    </w:p>
    <w:p>
      <w:pPr>
        <w:pStyle w:val="TextBody"/>
        <w:bidi w:val="0"/>
        <w:spacing w:lineRule="auto" w:line="324" w:before="0" w:after="0"/>
        <w:jc w:val="center"/>
        <w:rPr>
          <w:rFonts w:ascii="Times New Roman" w:hAnsi="Times New Roman"/>
          <w:b/>
          <w:sz w:val="24"/>
        </w:rPr>
      </w:pPr>
      <w:r>
        <w:rPr>
          <w:rFonts w:ascii="Times New Roman" w:hAnsi="Times New Roman"/>
          <w:b/>
          <w:sz w:val="24"/>
        </w:rPr>
        <w:t>WASHINGTON, D.C. 20549</w:t>
      </w:r>
    </w:p>
    <w:p>
      <w:pPr>
        <w:pStyle w:val="TextBody"/>
        <w:bidi w:val="0"/>
        <w:spacing w:lineRule="auto" w:line="324" w:before="0" w:after="0"/>
        <w:jc w:val="center"/>
        <w:rPr/>
      </w:pPr>
      <w:r>
        <w:rPr/>
        <w:t> </w:t>
      </w:r>
    </w:p>
    <w:tbl>
      <w:tblPr>
        <w:tblW w:w="266" w:type="dxa"/>
        <w:jc w:val="left"/>
        <w:tblInd w:w="0" w:type="dxa"/>
        <w:tblLayout w:type="fixed"/>
        <w:tblCellMar>
          <w:top w:w="28" w:type="dxa"/>
          <w:left w:w="0" w:type="dxa"/>
          <w:bottom w:w="0" w:type="dxa"/>
          <w:right w:w="0" w:type="dxa"/>
        </w:tblCellMar>
      </w:tblPr>
      <w:tblGrid>
        <w:gridCol w:w="266"/>
      </w:tblGrid>
      <w:tr>
        <w:trPr/>
        <w:tc>
          <w:tcPr>
            <w:tcW w:w="266" w:type="dxa"/>
            <w:tcBorders>
              <w:top w:val="single" w:sz="2"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60" w:after="283"/>
        <w:jc w:val="center"/>
        <w:rPr>
          <w:rFonts w:ascii="Times New Roman" w:hAnsi="Times New Roman"/>
          <w:sz w:val="24"/>
        </w:rPr>
      </w:pPr>
      <w:r>
        <w:rPr>
          <w:rFonts w:ascii="Times New Roman" w:hAnsi="Times New Roman"/>
          <w:b/>
          <w:sz w:val="24"/>
        </w:rPr>
        <w:t xml:space="preserve">FORM </w:t>
      </w:r>
      <w:r>
        <w:rPr>
          <w:rFonts w:ascii="Times New Roman" w:hAnsi="Times New Roman"/>
          <w:b/>
          <w:color w:val="000000"/>
          <w:sz w:val="24"/>
        </w:rPr>
        <w:t>10-Q</w:t>
      </w:r>
      <w:r>
        <w:rPr>
          <w:rFonts w:ascii="Times New Roman" w:hAnsi="Times New Roman"/>
          <w:sz w:val="24"/>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20" w:after="283"/>
        <w:jc w:val="left"/>
        <w:rPr/>
      </w:pPr>
      <w:r>
        <w:rPr/>
        <w:t xml:space="preserve">  </w:t>
      </w:r>
    </w:p>
    <w:tbl>
      <w:tblPr>
        <w:tblW w:w="7337" w:type="dxa"/>
        <w:jc w:val="left"/>
        <w:tblInd w:w="0" w:type="dxa"/>
        <w:tblLayout w:type="fixed"/>
        <w:tblCellMar>
          <w:top w:w="0" w:type="dxa"/>
          <w:left w:w="0" w:type="dxa"/>
          <w:bottom w:w="0" w:type="dxa"/>
          <w:right w:w="0" w:type="dxa"/>
        </w:tblCellMar>
      </w:tblPr>
      <w:tblGrid>
        <w:gridCol w:w="391"/>
        <w:gridCol w:w="6946"/>
      </w:tblGrid>
      <w:tr>
        <w:trPr/>
        <w:tc>
          <w:tcPr>
            <w:tcW w:w="391" w:type="dxa"/>
            <w:tcBorders/>
            <w:vAlign w:val="center"/>
          </w:tcPr>
          <w:p>
            <w:pPr>
              <w:pStyle w:val="TableContents"/>
              <w:bidi w:val="0"/>
              <w:spacing w:lineRule="auto" w:line="232" w:before="65" w:after="20"/>
              <w:jc w:val="left"/>
              <w:rPr/>
            </w:pPr>
            <w:r>
              <w:rPr>
                <w:color w:val="000000"/>
              </w:rPr>
              <w:t>☒</w:t>
            </w:r>
            <w:r>
              <w:rPr/>
              <w:t xml:space="preserve"> </w:t>
            </w:r>
          </w:p>
        </w:tc>
        <w:tc>
          <w:tcPr>
            <w:tcW w:w="6946" w:type="dxa"/>
            <w:tcBorders/>
            <w:vAlign w:val="center"/>
          </w:tcPr>
          <w:p>
            <w:pPr>
              <w:pStyle w:val="TableContents"/>
              <w:bidi w:val="0"/>
              <w:spacing w:lineRule="auto" w:line="232" w:before="65" w:after="20"/>
              <w:jc w:val="left"/>
              <w:rPr>
                <w:b/>
                <w:color w:val="000000"/>
                <w:sz w:val="18"/>
              </w:rPr>
            </w:pPr>
            <w:r>
              <w:rPr>
                <w:b/>
                <w:color w:val="000000"/>
                <w:sz w:val="18"/>
              </w:rPr>
              <w:t xml:space="preserve">Quarterly Report pursuant to Section 13 or 15(d) of the Securities Exchange Act of 1934 </w:t>
            </w:r>
          </w:p>
        </w:tc>
      </w:tr>
    </w:tbl>
    <w:p>
      <w:pPr>
        <w:pStyle w:val="TextBody"/>
        <w:bidi w:val="0"/>
        <w:spacing w:before="40" w:after="283"/>
        <w:jc w:val="center"/>
        <w:rPr>
          <w:rFonts w:ascii="Times New Roman" w:hAnsi="Times New Roman"/>
          <w:sz w:val="18"/>
        </w:rPr>
      </w:pPr>
      <w:r>
        <w:rPr>
          <w:rFonts w:ascii="Times New Roman" w:hAnsi="Times New Roman"/>
          <w:b/>
          <w:sz w:val="18"/>
        </w:rPr>
        <w:t xml:space="preserve">For the quarterly period ended </w:t>
      </w:r>
      <w:r>
        <w:rPr>
          <w:rFonts w:ascii="Times New Roman" w:hAnsi="Times New Roman"/>
          <w:b/>
          <w:color w:val="000000"/>
          <w:sz w:val="18"/>
        </w:rPr>
        <w:t>June 28, 2025</w:t>
      </w:r>
      <w:r>
        <w:rPr>
          <w:rFonts w:ascii="Times New Roman" w:hAnsi="Times New Roman"/>
          <w:sz w:val="18"/>
        </w:rPr>
        <w:t xml:space="preserve"> </w:t>
      </w:r>
    </w:p>
    <w:p>
      <w:pPr>
        <w:pStyle w:val="TextBody"/>
        <w:bidi w:val="0"/>
        <w:spacing w:lineRule="auto" w:line="350" w:before="40" w:after="283"/>
        <w:jc w:val="center"/>
        <w:rPr>
          <w:rFonts w:ascii="Times New Roman" w:hAnsi="Times New Roman"/>
          <w:sz w:val="18"/>
        </w:rPr>
      </w:pPr>
      <w:r>
        <w:rPr>
          <w:rFonts w:ascii="Times New Roman" w:hAnsi="Times New Roman"/>
          <w:sz w:val="18"/>
        </w:rPr>
        <w:t xml:space="preserve">or </w:t>
      </w:r>
    </w:p>
    <w:tbl>
      <w:tblPr>
        <w:tblW w:w="7397" w:type="dxa"/>
        <w:jc w:val="left"/>
        <w:tblInd w:w="0" w:type="dxa"/>
        <w:tblLayout w:type="fixed"/>
        <w:tblCellMar>
          <w:top w:w="0" w:type="dxa"/>
          <w:left w:w="0" w:type="dxa"/>
          <w:bottom w:w="0" w:type="dxa"/>
          <w:right w:w="0" w:type="dxa"/>
        </w:tblCellMar>
      </w:tblPr>
      <w:tblGrid>
        <w:gridCol w:w="391"/>
        <w:gridCol w:w="7006"/>
      </w:tblGrid>
      <w:tr>
        <w:trPr/>
        <w:tc>
          <w:tcPr>
            <w:tcW w:w="391" w:type="dxa"/>
            <w:tcBorders/>
            <w:vAlign w:val="center"/>
          </w:tcPr>
          <w:p>
            <w:pPr>
              <w:pStyle w:val="TableContents"/>
              <w:bidi w:val="0"/>
              <w:spacing w:lineRule="auto" w:line="232" w:before="65" w:after="20"/>
              <w:jc w:val="left"/>
              <w:rPr/>
            </w:pPr>
            <w:r>
              <w:rPr>
                <w:color w:val="000000"/>
              </w:rPr>
              <w:t>☐</w:t>
            </w:r>
            <w:r>
              <w:rPr/>
              <w:t xml:space="preserve"> </w:t>
            </w:r>
          </w:p>
        </w:tc>
        <w:tc>
          <w:tcPr>
            <w:tcW w:w="7006" w:type="dxa"/>
            <w:tcBorders/>
            <w:vAlign w:val="center"/>
          </w:tcPr>
          <w:p>
            <w:pPr>
              <w:pStyle w:val="TableContents"/>
              <w:bidi w:val="0"/>
              <w:spacing w:lineRule="auto" w:line="232" w:before="65" w:after="20"/>
              <w:jc w:val="left"/>
              <w:rPr>
                <w:b/>
                <w:color w:val="000000"/>
                <w:sz w:val="18"/>
              </w:rPr>
            </w:pPr>
            <w:r>
              <w:rPr>
                <w:b/>
                <w:color w:val="000000"/>
                <w:sz w:val="18"/>
              </w:rPr>
              <w:t xml:space="preserve">Transition Report Pursuant to Section 13 or 15(d) of the Securities Exchange Act of 1934 </w:t>
            </w:r>
          </w:p>
        </w:tc>
      </w:tr>
    </w:tbl>
    <w:p>
      <w:pPr>
        <w:pStyle w:val="TextBody"/>
        <w:bidi w:val="0"/>
        <w:spacing w:before="40" w:after="283"/>
        <w:jc w:val="center"/>
        <w:rPr>
          <w:rFonts w:ascii="Times New Roman" w:hAnsi="Times New Roman"/>
          <w:sz w:val="18"/>
        </w:rPr>
      </w:pPr>
      <w:r>
        <w:rPr>
          <w:rFonts w:ascii="Times New Roman" w:hAnsi="Times New Roman"/>
          <w:b/>
          <w:sz w:val="18"/>
        </w:rPr>
        <w:t>For the transition period from to</w:t>
      </w:r>
      <w:r>
        <w:rPr>
          <w:rFonts w:ascii="Times New Roman" w:hAnsi="Times New Roman"/>
          <w:sz w:val="18"/>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2" w:space="0" w:color="000000"/>
            </w:tcBorders>
            <w:vAlign w:val="center"/>
          </w:tcPr>
          <w:p>
            <w:pPr>
              <w:pStyle w:val="TableContents"/>
              <w:bidi w:val="0"/>
              <w:spacing w:before="0" w:after="0"/>
              <w:jc w:val="left"/>
              <w:rPr/>
            </w:pPr>
            <w:r>
              <w:rPr/>
              <w:t xml:space="preserve">  </w:t>
            </w:r>
          </w:p>
        </w:tc>
      </w:tr>
    </w:tbl>
    <w:p>
      <w:pPr>
        <w:pStyle w:val="TextBody"/>
        <w:bidi w:val="0"/>
        <w:spacing w:before="40" w:after="283"/>
        <w:jc w:val="center"/>
        <w:rPr/>
      </w:pPr>
      <w:r>
        <w:rPr/>
        <w:drawing>
          <wp:inline distT="0" distB="0" distL="0" distR="0">
            <wp:extent cx="21050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05025" cy="552450"/>
                    </a:xfrm>
                    <a:prstGeom prst="rect">
                      <a:avLst/>
                    </a:prstGeom>
                  </pic:spPr>
                </pic:pic>
              </a:graphicData>
            </a:graphic>
          </wp:inline>
        </w:drawing>
      </w:r>
      <w:r>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single" w:sz="8" w:space="0" w:color="000000"/>
            </w:tcBorders>
            <w:vAlign w:val="center"/>
          </w:tcPr>
          <w:p>
            <w:pPr>
              <w:pStyle w:val="TableContents"/>
              <w:bidi w:val="0"/>
              <w:spacing w:before="0" w:after="283"/>
              <w:jc w:val="left"/>
              <w:rPr/>
            </w:pPr>
            <w:r>
              <w:rPr/>
              <w:t xml:space="preserve">  </w:t>
            </w:r>
          </w:p>
        </w:tc>
      </w:tr>
    </w:tbl>
    <w:p>
      <w:pPr>
        <w:pStyle w:val="TextBody"/>
        <w:bidi w:val="0"/>
        <w:spacing w:lineRule="auto" w:line="324" w:before="60" w:after="283"/>
        <w:jc w:val="center"/>
        <w:rPr>
          <w:rFonts w:ascii="Times New Roman" w:hAnsi="Times New Roman"/>
          <w:sz w:val="18"/>
        </w:rPr>
      </w:pPr>
      <w:r>
        <w:rPr>
          <w:rFonts w:ascii="Times New Roman" w:hAnsi="Times New Roman"/>
          <w:color w:val="000000"/>
          <w:sz w:val="16"/>
        </w:rPr>
        <w:t>9335 Harris Corners Pkwy</w:t>
      </w:r>
      <w:r>
        <w:rPr>
          <w:rFonts w:ascii="Times New Roman" w:hAnsi="Times New Roman"/>
          <w:sz w:val="16"/>
        </w:rPr>
        <w:t xml:space="preserve">, </w:t>
      </w:r>
      <w:r>
        <w:rPr>
          <w:rFonts w:ascii="Times New Roman" w:hAnsi="Times New Roman"/>
          <w:color w:val="000000"/>
          <w:sz w:val="16"/>
        </w:rPr>
        <w:t>Suite 300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color w:val="000000"/>
          <w:sz w:val="16"/>
        </w:rPr>
        <w:t>Charlotte</w:t>
      </w:r>
      <w:r>
        <w:rPr>
          <w:rFonts w:ascii="Times New Roman" w:hAnsi="Times New Roman"/>
          <w:sz w:val="16"/>
        </w:rPr>
        <w:t xml:space="preserve">, </w:t>
      </w:r>
      <w:r>
        <w:rPr>
          <w:rFonts w:ascii="Times New Roman" w:hAnsi="Times New Roman"/>
          <w:color w:val="000000"/>
          <w:sz w:val="16"/>
        </w:rPr>
        <w:t>North Carolina</w:t>
      </w:r>
      <w:r>
        <w:rPr>
          <w:rFonts w:ascii="Times New Roman" w:hAnsi="Times New Roman"/>
          <w:sz w:val="18"/>
        </w:rPr>
        <w:t> </w:t>
      </w:r>
      <w:r>
        <w:rPr>
          <w:rFonts w:ascii="Times New Roman" w:hAnsi="Times New Roman"/>
          <w:color w:val="000000"/>
          <w:sz w:val="16"/>
        </w:rPr>
        <w:t>28269</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(Address of principal executive offices)</w:t>
      </w:r>
      <w:r>
        <w:rPr>
          <w:rFonts w:ascii="Times New Roman" w:hAnsi="Times New Roman"/>
          <w:sz w:val="18"/>
        </w:rPr>
        <w:t xml:space="preserve"> </w:t>
      </w:r>
    </w:p>
    <w:p>
      <w:pPr>
        <w:pStyle w:val="TextBody"/>
        <w:bidi w:val="0"/>
        <w:spacing w:lineRule="auto" w:line="324" w:before="100" w:after="283"/>
        <w:jc w:val="center"/>
        <w:rPr>
          <w:rFonts w:ascii="Times New Roman" w:hAnsi="Times New Roman"/>
          <w:sz w:val="18"/>
        </w:rPr>
      </w:pPr>
      <w:r>
        <w:rPr>
          <w:rFonts w:ascii="Times New Roman" w:hAnsi="Times New Roman"/>
          <w:sz w:val="16"/>
        </w:rPr>
        <w:t>(</w:t>
      </w:r>
      <w:r>
        <w:rPr>
          <w:rFonts w:ascii="Times New Roman" w:hAnsi="Times New Roman"/>
          <w:color w:val="000000"/>
          <w:sz w:val="16"/>
        </w:rPr>
        <w:t>866</w:t>
      </w:r>
      <w:r>
        <w:rPr>
          <w:rFonts w:ascii="Times New Roman" w:hAnsi="Times New Roman"/>
          <w:sz w:val="16"/>
        </w:rPr>
        <w:t xml:space="preserve">) </w:t>
      </w:r>
      <w:r>
        <w:rPr>
          <w:rFonts w:ascii="Times New Roman" w:hAnsi="Times New Roman"/>
          <w:color w:val="000000"/>
          <w:sz w:val="16"/>
        </w:rPr>
        <w:t>744-7380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(Registrant's telephone number, including area code)</w:t>
      </w:r>
      <w:r>
        <w:rPr>
          <w:rFonts w:ascii="Times New Roman" w:hAnsi="Times New Roman"/>
          <w:sz w:val="18"/>
        </w:rPr>
        <w:t xml:space="preserve"> </w:t>
      </w:r>
    </w:p>
    <w:p>
      <w:pPr>
        <w:pStyle w:val="TextBody"/>
        <w:bidi w:val="0"/>
        <w:spacing w:lineRule="auto" w:line="324" w:before="0" w:after="0"/>
        <w:jc w:val="left"/>
        <w:rPr/>
      </w:pPr>
      <w:r>
        <w:rPr/>
        <w:t xml:space="preserve">  </w:t>
      </w:r>
    </w:p>
    <w:tbl>
      <w:tblPr>
        <w:tblW w:w="7777" w:type="dxa"/>
        <w:jc w:val="left"/>
        <w:tblInd w:w="0" w:type="dxa"/>
        <w:tblLayout w:type="fixed"/>
        <w:tblCellMar>
          <w:top w:w="28" w:type="dxa"/>
          <w:left w:w="28" w:type="dxa"/>
          <w:bottom w:w="28" w:type="dxa"/>
          <w:right w:w="28" w:type="dxa"/>
        </w:tblCellMar>
      </w:tblPr>
      <w:tblGrid>
        <w:gridCol w:w="1246"/>
        <w:gridCol w:w="146"/>
        <w:gridCol w:w="2431"/>
        <w:gridCol w:w="146"/>
        <w:gridCol w:w="1396"/>
        <w:gridCol w:w="146"/>
        <w:gridCol w:w="2266"/>
      </w:tblGrid>
      <w:tr>
        <w:trPr/>
        <w:tc>
          <w:tcPr>
            <w:tcW w:w="1246" w:type="dxa"/>
            <w:tcBorders/>
            <w:vAlign w:val="center"/>
          </w:tcPr>
          <w:p>
            <w:pPr>
              <w:pStyle w:val="TableContents"/>
              <w:bidi w:val="0"/>
              <w:spacing w:before="0" w:after="283"/>
              <w:jc w:val="center"/>
              <w:rPr/>
            </w:pPr>
            <w:r>
              <w:rPr>
                <w:sz w:val="16"/>
              </w:rPr>
              <w:t>Commission file</w:t>
              <w:br/>
              <w:t>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Exact name of registrant as</w:t>
              <w:br/>
              <w:t>specified in its charter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IRS Employer</w:t>
              <w:br/>
              <w:t>Identification No.</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color w:val="000000"/>
                <w:sz w:val="16"/>
              </w:rPr>
              <w:t xml:space="preserve">State or other jurisdiction of </w:t>
              <w:br/>
              <w:t>incorporation or organization</w:t>
            </w:r>
            <w:r>
              <w:rPr/>
              <w:t xml:space="preserve"> </w:t>
            </w:r>
          </w:p>
        </w:tc>
      </w:tr>
      <w:tr>
        <w:trPr/>
        <w:tc>
          <w:tcPr>
            <w:tcW w:w="12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1-03560</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3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Magnera Corporation</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9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23-0628360</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26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b/>
                <w:color w:val="000000"/>
              </w:rPr>
              <w:t>Pennsylvania</w:t>
            </w:r>
            <w:r>
              <w:rPr/>
              <w:t xml:space="preserve"> </w:t>
            </w:r>
          </w:p>
        </w:tc>
      </w:tr>
    </w:tbl>
    <w:p>
      <w:pPr>
        <w:pStyle w:val="TextBody"/>
        <w:bidi w:val="0"/>
        <w:spacing w:lineRule="auto" w:line="324" w:before="0" w:after="0"/>
        <w:jc w:val="center"/>
        <w:rPr>
          <w:rFonts w:ascii="Times New Roman" w:hAnsi="Times New Roman"/>
          <w:sz w:val="18"/>
        </w:rPr>
      </w:pPr>
      <w:r>
        <w:rPr>
          <w:rFonts w:ascii="Times New Roman" w:hAnsi="Times New Roman"/>
          <w:sz w:val="16"/>
        </w:rPr>
        <w:t>Former name or former address, if changed since last report</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Glatfelter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color w:val="000000"/>
          <w:sz w:val="16"/>
        </w:rPr>
        <w:t>4350 Congress Street</w:t>
      </w:r>
      <w:r>
        <w:rPr>
          <w:rFonts w:ascii="Times New Roman" w:hAnsi="Times New Roman"/>
          <w:sz w:val="16"/>
        </w:rPr>
        <w:t xml:space="preserve">, </w:t>
      </w:r>
      <w:r>
        <w:rPr>
          <w:rFonts w:ascii="Times New Roman" w:hAnsi="Times New Roman"/>
          <w:color w:val="000000"/>
          <w:sz w:val="16"/>
        </w:rPr>
        <w:t>Suite 600</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color w:val="000000"/>
          <w:sz w:val="16"/>
        </w:rPr>
        <w:t>Charlotte</w:t>
      </w:r>
      <w:r>
        <w:rPr>
          <w:rFonts w:ascii="Times New Roman" w:hAnsi="Times New Roman"/>
          <w:sz w:val="16"/>
        </w:rPr>
        <w:t xml:space="preserve">, </w:t>
      </w:r>
      <w:r>
        <w:rPr>
          <w:rFonts w:ascii="Times New Roman" w:hAnsi="Times New Roman"/>
          <w:color w:val="000000"/>
          <w:sz w:val="16"/>
        </w:rPr>
        <w:t>North Carolina</w:t>
      </w:r>
      <w:r>
        <w:rPr>
          <w:rFonts w:ascii="Times New Roman" w:hAnsi="Times New Roman"/>
          <w:sz w:val="18"/>
        </w:rPr>
        <w:t> </w:t>
      </w:r>
      <w:r>
        <w:rPr>
          <w:rFonts w:ascii="Times New Roman" w:hAnsi="Times New Roman"/>
          <w:color w:val="000000"/>
          <w:sz w:val="16"/>
        </w:rPr>
        <w:t>28209</w:t>
      </w:r>
      <w:r>
        <w:rPr>
          <w:rFonts w:ascii="Times New Roman" w:hAnsi="Times New Roman"/>
          <w:sz w:val="18"/>
        </w:rPr>
        <w:t xml:space="preserve"> </w:t>
      </w:r>
    </w:p>
    <w:p>
      <w:pPr>
        <w:pStyle w:val="TextBody"/>
        <w:bidi w:val="0"/>
        <w:spacing w:lineRule="auto" w:line="324" w:before="120" w:after="283"/>
        <w:jc w:val="left"/>
        <w:rPr>
          <w:rFonts w:ascii="Times New Roman" w:hAnsi="Times New Roman"/>
          <w:sz w:val="18"/>
        </w:rPr>
      </w:pPr>
      <w:r>
        <w:rPr>
          <w:rFonts w:ascii="Times New Roman" w:hAnsi="Times New Roman"/>
          <w:sz w:val="18"/>
        </w:rPr>
        <w:t xml:space="preserve">Securities registered pursuant to Section 12(b) of the Act: </w:t>
      </w:r>
    </w:p>
    <w:p>
      <w:pPr>
        <w:pStyle w:val="TextBody"/>
        <w:bidi w:val="0"/>
        <w:spacing w:lineRule="auto" w:line="324" w:before="0" w:after="0"/>
        <w:jc w:val="left"/>
        <w:rPr/>
      </w:pPr>
      <w:r>
        <w:rPr/>
        <w:t xml:space="preserve">  </w:t>
      </w:r>
    </w:p>
    <w:tbl>
      <w:tblPr>
        <w:tblW w:w="6595" w:type="dxa"/>
        <w:jc w:val="left"/>
        <w:tblInd w:w="0" w:type="dxa"/>
        <w:tblLayout w:type="fixed"/>
        <w:tblCellMar>
          <w:top w:w="0" w:type="dxa"/>
          <w:left w:w="0" w:type="dxa"/>
          <w:bottom w:w="28" w:type="dxa"/>
          <w:right w:w="0" w:type="dxa"/>
        </w:tblCellMar>
      </w:tblPr>
      <w:tblGrid>
        <w:gridCol w:w="1411"/>
        <w:gridCol w:w="206"/>
        <w:gridCol w:w="1486"/>
        <w:gridCol w:w="206"/>
        <w:gridCol w:w="3286"/>
      </w:tblGrid>
      <w:tr>
        <w:trPr/>
        <w:tc>
          <w:tcPr>
            <w:tcW w:w="1411" w:type="dxa"/>
            <w:tcBorders>
              <w:bottom w:val="single" w:sz="8" w:space="0" w:color="000000"/>
            </w:tcBorders>
            <w:vAlign w:val="center"/>
          </w:tcPr>
          <w:p>
            <w:pPr>
              <w:pStyle w:val="TableContents"/>
              <w:bidi w:val="0"/>
              <w:spacing w:before="0" w:after="0"/>
              <w:jc w:val="center"/>
              <w:rPr/>
            </w:pPr>
            <w:r>
              <w:rPr>
                <w:color w:val="000000"/>
                <w:sz w:val="16"/>
              </w:rPr>
              <w:t>Title of each class</w:t>
            </w: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1486" w:type="dxa"/>
            <w:tcBorders>
              <w:bottom w:val="single" w:sz="8" w:space="0" w:color="000000"/>
            </w:tcBorders>
            <w:vAlign w:val="center"/>
          </w:tcPr>
          <w:p>
            <w:pPr>
              <w:pStyle w:val="TableContents"/>
              <w:bidi w:val="0"/>
              <w:spacing w:before="0" w:after="0"/>
              <w:jc w:val="center"/>
              <w:rPr/>
            </w:pPr>
            <w:r>
              <w:rPr>
                <w:color w:val="000000"/>
                <w:sz w:val="16"/>
              </w:rPr>
              <w:t>Trading Symbol(s)</w:t>
            </w: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3286" w:type="dxa"/>
            <w:tcBorders>
              <w:bottom w:val="single" w:sz="8" w:space="0" w:color="000000"/>
            </w:tcBorders>
            <w:vAlign w:val="center"/>
          </w:tcPr>
          <w:p>
            <w:pPr>
              <w:pStyle w:val="TableContents"/>
              <w:bidi w:val="0"/>
              <w:spacing w:before="0" w:after="0"/>
              <w:jc w:val="center"/>
              <w:rPr/>
            </w:pPr>
            <w:r>
              <w:rPr>
                <w:color w:val="000000"/>
                <w:sz w:val="16"/>
              </w:rPr>
              <w:t>Name of each exchange on which registered</w:t>
            </w:r>
            <w:r>
              <w:rPr/>
              <w:t xml:space="preserve"> </w:t>
            </w:r>
          </w:p>
        </w:tc>
      </w:tr>
      <w:tr>
        <w:trPr/>
        <w:tc>
          <w:tcPr>
            <w:tcW w:w="1411" w:type="dxa"/>
            <w:tcBorders>
              <w:top w:val="single" w:sz="8" w:space="0" w:color="000000"/>
            </w:tcBorders>
            <w:tcMar>
              <w:top w:w="28" w:type="dxa"/>
              <w:bottom w:w="0" w:type="dxa"/>
            </w:tcMar>
            <w:vAlign w:val="center"/>
          </w:tcPr>
          <w:p>
            <w:pPr>
              <w:pStyle w:val="TableContents"/>
              <w:bidi w:val="0"/>
              <w:spacing w:before="0" w:after="0"/>
              <w:jc w:val="center"/>
              <w:rPr/>
            </w:pPr>
            <w:r>
              <w:rPr>
                <w:b/>
                <w:color w:val="000000"/>
                <w:sz w:val="18"/>
              </w:rPr>
              <w:t>Common Stock</w:t>
            </w: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1486" w:type="dxa"/>
            <w:tcBorders>
              <w:top w:val="single" w:sz="8" w:space="0" w:color="000000"/>
            </w:tcBorders>
            <w:tcMar>
              <w:top w:w="28" w:type="dxa"/>
              <w:bottom w:w="0" w:type="dxa"/>
            </w:tcMar>
            <w:vAlign w:val="center"/>
          </w:tcPr>
          <w:p>
            <w:pPr>
              <w:pStyle w:val="TableContents"/>
              <w:bidi w:val="0"/>
              <w:spacing w:before="0" w:after="0"/>
              <w:jc w:val="center"/>
              <w:rPr/>
            </w:pPr>
            <w:r>
              <w:rPr>
                <w:b/>
                <w:color w:val="000000"/>
                <w:sz w:val="18"/>
              </w:rPr>
              <w:t>MAGN</w:t>
            </w:r>
            <w:r>
              <w:rPr/>
              <w:t xml:space="preserve"> </w:t>
            </w:r>
          </w:p>
        </w:tc>
        <w:tc>
          <w:tcPr>
            <w:tcW w:w="206" w:type="dxa"/>
            <w:tcBorders/>
            <w:tcMar>
              <w:bottom w:w="0" w:type="dxa"/>
            </w:tcMar>
            <w:vAlign w:val="center"/>
          </w:tcPr>
          <w:p>
            <w:pPr>
              <w:pStyle w:val="TableContents"/>
              <w:bidi w:val="0"/>
              <w:spacing w:before="0" w:after="283"/>
              <w:jc w:val="left"/>
              <w:rPr/>
            </w:pPr>
            <w:r>
              <w:rPr/>
              <w:t xml:space="preserve">  </w:t>
            </w:r>
          </w:p>
        </w:tc>
        <w:tc>
          <w:tcPr>
            <w:tcW w:w="3286" w:type="dxa"/>
            <w:tcBorders>
              <w:top w:val="single" w:sz="8" w:space="0" w:color="000000"/>
            </w:tcBorders>
            <w:tcMar>
              <w:top w:w="28" w:type="dxa"/>
              <w:bottom w:w="0" w:type="dxa"/>
            </w:tcMar>
            <w:vAlign w:val="center"/>
          </w:tcPr>
          <w:p>
            <w:pPr>
              <w:pStyle w:val="TableContents"/>
              <w:bidi w:val="0"/>
              <w:spacing w:before="0" w:after="0"/>
              <w:jc w:val="center"/>
              <w:rPr/>
            </w:pPr>
            <w:r>
              <w:rPr>
                <w:b/>
                <w:color w:val="000000"/>
                <w:sz w:val="18"/>
              </w:rPr>
              <w:t>New York Stock Exchange</w:t>
            </w:r>
            <w:r>
              <w:rPr/>
              <w:t xml:space="preserve"> </w:t>
            </w:r>
          </w:p>
        </w:tc>
      </w:tr>
    </w:tbl>
    <w:p>
      <w:pPr>
        <w:pStyle w:val="TextBody"/>
        <w:bidi w:val="0"/>
        <w:spacing w:lineRule="auto" w:line="324" w:before="0" w:after="20"/>
        <w:jc w:val="center"/>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the past 90 days. </w:t>
      </w:r>
      <w:r>
        <w:rPr>
          <w:rFonts w:ascii="Times New Roman" w:hAnsi="Times New Roman"/>
          <w:color w:val="000000"/>
          <w:sz w:val="18"/>
        </w:rPr>
        <w:t>Yes</w:t>
      </w:r>
      <w:r>
        <w:rPr>
          <w:rFonts w:ascii="Times New Roman" w:hAnsi="Times New Roman"/>
          <w:sz w:val="18"/>
        </w:rPr>
        <w:t xml:space="preserve"> ☒ No ☐. </w:t>
      </w:r>
    </w:p>
    <w:p>
      <w:pPr>
        <w:pStyle w:val="TextBody"/>
        <w:bidi w:val="0"/>
        <w:spacing w:before="0" w:after="0"/>
        <w:ind w:left="0" w:right="543" w:hanging="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olor w:val="000000"/>
          <w:sz w:val="18"/>
        </w:rPr>
        <w:t>Yes</w:t>
      </w:r>
      <w:r>
        <w:rPr>
          <w:rFonts w:ascii="Times New Roman" w:hAnsi="Times New Roman"/>
          <w:sz w:val="18"/>
        </w:rPr>
        <w:t xml:space="preserve"> ☒ No ☐. </w:t>
      </w:r>
    </w:p>
    <w:p>
      <w:pPr>
        <w:pStyle w:val="TextBody"/>
        <w:bidi w:val="0"/>
        <w:spacing w:before="0" w:after="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 reporting company or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643"/>
        <w:gridCol w:w="425"/>
        <w:gridCol w:w="1355"/>
        <w:gridCol w:w="425"/>
        <w:gridCol w:w="1746"/>
        <w:gridCol w:w="425"/>
        <w:gridCol w:w="1664"/>
        <w:gridCol w:w="425"/>
        <w:gridCol w:w="1712"/>
        <w:gridCol w:w="385"/>
      </w:tblGrid>
      <w:tr>
        <w:trPr/>
        <w:tc>
          <w:tcPr>
            <w:tcW w:w="1643" w:type="dxa"/>
            <w:tcBorders/>
            <w:vAlign w:val="center"/>
          </w:tcPr>
          <w:p>
            <w:pPr>
              <w:pStyle w:val="TableContents"/>
              <w:bidi w:val="0"/>
              <w:spacing w:lineRule="auto" w:line="321" w:before="65" w:after="20"/>
              <w:jc w:val="left"/>
              <w:rPr/>
            </w:pPr>
            <w:r>
              <w:rPr>
                <w:color w:val="000000"/>
                <w:sz w:val="16"/>
              </w:rPr>
              <w:t>Large Accelerated Filer</w:t>
            </w:r>
            <w:r>
              <w:rPr/>
              <w:t xml:space="preserve">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355" w:type="dxa"/>
            <w:tcBorders/>
            <w:vAlign w:val="center"/>
          </w:tcPr>
          <w:p>
            <w:pPr>
              <w:pStyle w:val="TableContents"/>
              <w:bidi w:val="0"/>
              <w:spacing w:lineRule="auto" w:line="321" w:before="65" w:after="20"/>
              <w:jc w:val="left"/>
              <w:rPr/>
            </w:pPr>
            <w:r>
              <w:rPr>
                <w:color w:val="000000"/>
                <w:sz w:val="16"/>
              </w:rPr>
              <w:t>Accelerated filer</w:t>
            </w:r>
            <w:r>
              <w:rPr/>
              <w:t xml:space="preserve">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746" w:type="dxa"/>
            <w:tcBorders/>
            <w:vAlign w:val="center"/>
          </w:tcPr>
          <w:p>
            <w:pPr>
              <w:pStyle w:val="TableContents"/>
              <w:bidi w:val="0"/>
              <w:spacing w:lineRule="auto" w:line="321" w:before="65" w:after="20"/>
              <w:jc w:val="left"/>
              <w:rPr/>
            </w:pPr>
            <w:r>
              <w:rPr>
                <w:color w:val="000000"/>
                <w:sz w:val="16"/>
              </w:rPr>
              <w:t>Non-accelerated filer</w:t>
            </w:r>
            <w:r>
              <w:rPr/>
              <w:t xml:space="preserve">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664" w:type="dxa"/>
            <w:tcBorders/>
            <w:vAlign w:val="center"/>
          </w:tcPr>
          <w:p>
            <w:pPr>
              <w:pStyle w:val="TableContents"/>
              <w:bidi w:val="0"/>
              <w:spacing w:lineRule="auto" w:line="321" w:before="65" w:after="20"/>
              <w:jc w:val="left"/>
              <w:rPr>
                <w:color w:val="000000"/>
                <w:sz w:val="16"/>
              </w:rPr>
            </w:pPr>
            <w:r>
              <w:rPr>
                <w:color w:val="000000"/>
                <w:sz w:val="16"/>
              </w:rPr>
              <w:t xml:space="preserve">Smaller reporting company </w:t>
            </w:r>
          </w:p>
        </w:tc>
        <w:tc>
          <w:tcPr>
            <w:tcW w:w="425" w:type="dxa"/>
            <w:tcBorders/>
            <w:vAlign w:val="center"/>
          </w:tcPr>
          <w:p>
            <w:pPr>
              <w:pStyle w:val="TableContents"/>
              <w:bidi w:val="0"/>
              <w:spacing w:lineRule="auto" w:line="321" w:before="65" w:after="20"/>
              <w:jc w:val="center"/>
              <w:rPr/>
            </w:pPr>
            <w:r>
              <w:rPr>
                <w:color w:val="000000"/>
              </w:rPr>
              <w:t>☐</w:t>
            </w:r>
            <w:r>
              <w:rPr/>
              <w:t xml:space="preserve"> </w:t>
            </w:r>
          </w:p>
        </w:tc>
        <w:tc>
          <w:tcPr>
            <w:tcW w:w="1712" w:type="dxa"/>
            <w:tcBorders/>
            <w:vAlign w:val="center"/>
          </w:tcPr>
          <w:p>
            <w:pPr>
              <w:pStyle w:val="TableContents"/>
              <w:bidi w:val="0"/>
              <w:spacing w:lineRule="auto" w:line="321" w:before="65" w:after="20"/>
              <w:jc w:val="left"/>
              <w:rPr/>
            </w:pPr>
            <w:r>
              <w:rPr>
                <w:color w:val="000000"/>
                <w:sz w:val="16"/>
              </w:rPr>
              <w:t>Emerging growth company</w:t>
            </w:r>
            <w:r>
              <w:rPr/>
              <w:t xml:space="preserve"> </w:t>
            </w:r>
          </w:p>
        </w:tc>
        <w:tc>
          <w:tcPr>
            <w:tcW w:w="385" w:type="dxa"/>
            <w:tcBorders/>
            <w:vAlign w:val="center"/>
          </w:tcPr>
          <w:p>
            <w:pPr>
              <w:pStyle w:val="TableContents"/>
              <w:bidi w:val="0"/>
              <w:spacing w:lineRule="auto" w:line="321" w:before="65" w:after="20"/>
              <w:jc w:val="center"/>
              <w:rPr/>
            </w:pPr>
            <w:r>
              <w:rPr>
                <w:color w:val="000000"/>
              </w:rPr>
              <w:t>☐</w:t>
            </w:r>
            <w:r>
              <w:rPr/>
              <w:t xml:space="preserve"> </w:t>
            </w:r>
          </w:p>
        </w:tc>
      </w:tr>
      <w:tr>
        <w:trPr/>
        <w:tc>
          <w:tcPr>
            <w:tcW w:w="9820" w:type="dxa"/>
            <w:gridSpan w:val="9"/>
            <w:tcBorders/>
            <w:vAlign w:val="center"/>
          </w:tcPr>
          <w:p>
            <w:pPr>
              <w:pStyle w:val="TableContents"/>
              <w:bidi w:val="0"/>
              <w:spacing w:before="0" w:after="0"/>
              <w:jc w:val="center"/>
              <w:rPr/>
            </w:pPr>
            <w:r>
              <w:rPr>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t xml:space="preserve"> </w:t>
            </w:r>
          </w:p>
        </w:tc>
        <w:tc>
          <w:tcPr>
            <w:tcW w:w="385" w:type="dxa"/>
            <w:tcBorders/>
            <w:vAlign w:val="center"/>
          </w:tcPr>
          <w:p>
            <w:pPr>
              <w:pStyle w:val="TableContents"/>
              <w:bidi w:val="0"/>
              <w:spacing w:lineRule="auto" w:line="321" w:before="65" w:after="20"/>
              <w:jc w:val="center"/>
              <w:rPr/>
            </w:pPr>
            <w:r>
              <w:rPr>
                <w:color w:val="000000"/>
              </w:rPr>
              <w:t>☐</w:t>
            </w:r>
            <w:r>
              <w:rPr/>
              <w:t xml:space="preserve"> </w:t>
            </w:r>
          </w:p>
        </w:tc>
      </w:tr>
    </w:tbl>
    <w:p>
      <w:pPr>
        <w:pStyle w:val="TextBody"/>
        <w:bidi w:val="0"/>
        <w:spacing w:lineRule="auto" w:line="324" w:before="0" w:after="0"/>
        <w:jc w:val="both"/>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Indicate by check mark whether the registrant is a shell company (as defined in Rule 12b-2 of the Exchange Act) Yes </w:t>
      </w:r>
      <w:r>
        <w:rPr>
          <w:rFonts w:ascii="Times New Roman" w:hAnsi="Times New Roman"/>
          <w:color w:val="000000"/>
          <w:sz w:val="18"/>
        </w:rPr>
        <w:t>☐</w:t>
      </w:r>
      <w:r>
        <w:rPr>
          <w:rFonts w:ascii="Times New Roman" w:hAnsi="Times New Roman"/>
          <w:sz w:val="18"/>
        </w:rPr>
        <w:t xml:space="preserve"> No </w:t>
      </w:r>
      <w:r>
        <w:rPr>
          <w:rFonts w:ascii="Times New Roman" w:hAnsi="Times New Roman"/>
          <w:color w:val="000000"/>
          <w:sz w:val="18"/>
        </w:rPr>
        <w:t>☒</w:t>
      </w:r>
      <w:r>
        <w:rPr>
          <w:rFonts w:ascii="Times New Roman" w:hAnsi="Times New Roman"/>
          <w:sz w:val="18"/>
        </w:rPr>
        <w:t xml:space="preserve">. </w:t>
      </w:r>
    </w:p>
    <w:p>
      <w:pPr>
        <w:pStyle w:val="TextBody"/>
        <w:bidi w:val="0"/>
        <w:spacing w:lineRule="auto" w:line="324" w:before="120" w:after="283"/>
        <w:jc w:val="center"/>
        <w:rPr>
          <w:rFonts w:ascii="Times New Roman" w:hAnsi="Times New Roman"/>
          <w:sz w:val="18"/>
        </w:rPr>
      </w:pPr>
      <w:r>
        <w:rPr>
          <w:rFonts w:ascii="Times New Roman" w:hAnsi="Times New Roman"/>
          <w:sz w:val="16"/>
        </w:rPr>
        <w:t xml:space="preserve">Common Stock outstanding on </w:t>
      </w:r>
      <w:r>
        <w:rPr>
          <w:rFonts w:ascii="Times New Roman" w:hAnsi="Times New Roman"/>
          <w:color w:val="000000"/>
          <w:sz w:val="16"/>
        </w:rPr>
        <w:t>August 6, 2025</w:t>
      </w:r>
      <w:r>
        <w:rPr>
          <w:rFonts w:ascii="Times New Roman" w:hAnsi="Times New Roman"/>
          <w:sz w:val="18"/>
        </w:rPr>
        <w:t xml:space="preserve"> </w:t>
      </w:r>
      <w:r>
        <w:rPr>
          <w:rFonts w:ascii="Times New Roman" w:hAnsi="Times New Roman"/>
          <w:sz w:val="16"/>
        </w:rPr>
        <w:t xml:space="preserve">totaled </w:t>
      </w:r>
      <w:r>
        <w:rPr>
          <w:rFonts w:ascii="Times New Roman" w:hAnsi="Times New Roman"/>
          <w:color w:val="000000"/>
          <w:sz w:val="16"/>
        </w:rPr>
        <w:t>35.6</w:t>
      </w:r>
      <w:r>
        <w:rPr>
          <w:rFonts w:ascii="Times New Roman" w:hAnsi="Times New Roman"/>
          <w:sz w:val="18"/>
        </w:rPr>
        <w:t xml:space="preserve"> </w:t>
      </w:r>
      <w:r>
        <w:rPr>
          <w:rFonts w:ascii="Times New Roman" w:hAnsi="Times New Roman"/>
          <w:sz w:val="16"/>
        </w:rPr>
        <w:t>million shares.</w:t>
      </w:r>
      <w:r>
        <w:rPr>
          <w:rFonts w:ascii="Times New Roman" w:hAnsi="Times New Roman"/>
          <w:sz w:val="18"/>
        </w:rPr>
        <w:t xml:space="preserve"> </w:t>
      </w:r>
    </w:p>
    <w:tbl>
      <w:tblPr>
        <w:tblW w:w="266" w:type="dxa"/>
        <w:jc w:val="left"/>
        <w:tblInd w:w="0" w:type="dxa"/>
        <w:tblLayout w:type="fixed"/>
        <w:tblCellMar>
          <w:top w:w="0" w:type="dxa"/>
          <w:left w:w="0" w:type="dxa"/>
          <w:bottom w:w="28" w:type="dxa"/>
          <w:right w:w="0" w:type="dxa"/>
        </w:tblCellMar>
      </w:tblPr>
      <w:tblGrid>
        <w:gridCol w:w="266"/>
      </w:tblGrid>
      <w:tr>
        <w:trPr/>
        <w:tc>
          <w:tcPr>
            <w:tcW w:w="266" w:type="dxa"/>
            <w:tcBorders>
              <w:bottom w:val="double" w:sz="6" w:space="0" w:color="000000"/>
            </w:tcBorders>
            <w:vAlign w:val="center"/>
          </w:tcPr>
          <w:p>
            <w:pPr>
              <w:pStyle w:val="TableContents"/>
              <w:bidi w:val="0"/>
              <w:spacing w:before="0" w:after="0"/>
              <w:jc w:val="left"/>
              <w:rPr/>
            </w:pPr>
            <w:r>
              <w:rPr/>
              <w:t xml:space="preserve">  </w:t>
            </w:r>
          </w:p>
        </w:tc>
      </w:tr>
    </w:tbl>
    <w:p>
      <w:pPr>
        <w:pStyle w:val="TextBody"/>
        <w:bidi w:val="0"/>
        <w:spacing w:lineRule="auto" w:line="324" w:before="0" w:after="20"/>
        <w:jc w:val="left"/>
        <w:rPr/>
      </w:pPr>
      <w:r>
        <w:rPr/>
        <w:t xml:space="preserve">  </w:t>
      </w:r>
    </w:p>
    <w:p>
      <w:pPr>
        <w:pStyle w:val="TextBody"/>
        <w:bidi w:val="0"/>
        <w:spacing w:lineRule="auto" w:line="324" w:before="0" w:after="2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1</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14" w:before="0" w:after="0"/>
        <w:jc w:val="center"/>
        <w:rPr/>
      </w:pPr>
      <w:r>
        <w:rPr/>
        <w:t xml:space="preserve">  </w:t>
      </w:r>
    </w:p>
    <w:p>
      <w:pPr>
        <w:pStyle w:val="TextBody"/>
        <w:bidi w:val="0"/>
        <w:spacing w:lineRule="auto" w:line="314" w:before="0" w:after="0"/>
        <w:ind w:left="0" w:right="0" w:firstLine="407"/>
        <w:jc w:val="center"/>
        <w:rPr>
          <w:rFonts w:ascii="Times New Roman" w:hAnsi="Times New Roman"/>
          <w:sz w:val="18"/>
        </w:rPr>
      </w:pPr>
      <w:r>
        <w:rPr>
          <w:rFonts w:ascii="Times New Roman" w:hAnsi="Times New Roman"/>
          <w:sz w:val="18"/>
        </w:rPr>
        <w:t xml:space="preserve">CAUTIONARY STATEMENT CONCERNING FORWARD-LOOKING STATEMENTS </w:t>
      </w:r>
    </w:p>
    <w:p>
      <w:pPr>
        <w:pStyle w:val="TextBody"/>
        <w:bidi w:val="0"/>
        <w:spacing w:lineRule="auto" w:line="324" w:before="0" w:after="0"/>
        <w:jc w:val="left"/>
        <w:rPr/>
      </w:pPr>
      <w:r>
        <w:rPr/>
        <w:t xml:space="preserve">  </w:t>
      </w:r>
    </w:p>
    <w:p>
      <w:pPr>
        <w:pStyle w:val="TextBody"/>
        <w:bidi w:val="0"/>
        <w:spacing w:lineRule="auto" w:line="300" w:before="0" w:after="0"/>
        <w:jc w:val="left"/>
        <w:rPr>
          <w:rFonts w:ascii="Times New Roman" w:hAnsi="Times New Roman"/>
          <w:sz w:val="18"/>
        </w:rPr>
      </w:pPr>
      <w:r>
        <w:rPr>
          <w:rFonts w:ascii="Times New Roman" w:hAnsi="Times New Roman"/>
          <w:sz w:val="18"/>
        </w:rPr>
        <w:t xml:space="preserve">Information included or incorporated by reference in Magnera Corporation’s filings with the U.S. Securities and Exchange Commission (the “SEC”) and press releases or other public statements contains or may contain “forward-looking” statements within the meaning of the federal securities laws and are presented pursuant to the safe harbor provisions of the Private Securities Litigation Reform Act of 1995.  Such “forward-looking” statements include, but are not limited to, statements with respect to our financial condition, results of operations and business, our expectations or beliefs concerning future events, including future financial and operating results, objectives, expectations and intentions, and other statements that are not historical facts.  These statements contain words such as “believes,” “expects,” “may,” “will,” “should,” “would,” “could,” “seeks,” “approximately,” “intends,” “plans,” “estimates,” “projects,” “outlook,” “anticipates” or “looking forward” or similar expressions that relate to our strategy, plans, intentions, or expectations.  All statements we make relating to our estimated and projected earnings, margins, costs, expenditures, cash flows, growth rates, and financial results or to our expectations regarding future industry trends are forward-looking statements.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and are subject to risks and uncertainties that may change at any time, and, therefore, our actual results may differ materially from those that we expected.   </w:t>
      </w:r>
    </w:p>
    <w:p>
      <w:pPr>
        <w:pStyle w:val="TextBody"/>
        <w:bidi w:val="0"/>
        <w:spacing w:lineRule="auto" w:line="300" w:before="0" w:after="0"/>
        <w:jc w:val="left"/>
        <w:rPr/>
      </w:pPr>
      <w:r>
        <w:rPr/>
        <w:t xml:space="preserve">  </w:t>
      </w:r>
    </w:p>
    <w:p>
      <w:pPr>
        <w:pStyle w:val="TextBody"/>
        <w:bidi w:val="0"/>
        <w:spacing w:lineRule="auto" w:line="300" w:before="0" w:after="0"/>
        <w:jc w:val="left"/>
        <w:rPr>
          <w:rFonts w:ascii="Times New Roman" w:hAnsi="Times New Roman"/>
          <w:sz w:val="18"/>
        </w:rPr>
      </w:pPr>
      <w:r>
        <w:rPr>
          <w:rFonts w:ascii="Times New Roman" w:hAnsi="Times New Roman"/>
          <w:sz w:val="18"/>
        </w:rPr>
        <w:t xml:space="preserve">These risks and other factors are discussed in various periodic reports filed with the Securities and Exchange Commission (the “SEC”), including in our recent Form 8-K/A filed on January 31, 2025.  All forward-looking statements are made only as of the date hereof, and we undertake no obligation to publicly update or revise any forward-looking statement as a result of new information, future events or otherwise, except as otherwise required by law.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Form 10-Q</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left"/>
        <w:rPr/>
      </w:pPr>
      <w:r>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18"/>
        </w:rPr>
        <w:t>Magnera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18"/>
        </w:rPr>
        <w:t>Form 10-Q Index</w:t>
      </w:r>
      <w:r>
        <w:rPr>
          <w:rFonts w:ascii="Times New Roman" w:hAnsi="Times New Roman"/>
          <w:sz w:val="18"/>
        </w:rPr>
        <w:t xml:space="preserve"> </w:t>
      </w:r>
    </w:p>
    <w:p>
      <w:pPr>
        <w:pStyle w:val="TextBody"/>
        <w:bidi w:val="0"/>
        <w:spacing w:lineRule="auto" w:line="324" w:before="60" w:after="283"/>
        <w:jc w:val="center"/>
        <w:rPr>
          <w:rFonts w:ascii="Times New Roman" w:hAnsi="Times New Roman"/>
          <w:sz w:val="18"/>
        </w:rPr>
      </w:pPr>
      <w:r>
        <w:rPr>
          <w:rFonts w:ascii="Times New Roman" w:hAnsi="Times New Roman"/>
          <w:b/>
          <w:sz w:val="18"/>
        </w:rPr>
        <w:t xml:space="preserve">For the Quarterly Period Ended </w:t>
      </w:r>
      <w:r>
        <w:rPr>
          <w:rFonts w:ascii="Times New Roman" w:hAnsi="Times New Roman"/>
          <w:b/>
          <w:color w:val="000000"/>
          <w:sz w:val="18"/>
        </w:rPr>
        <w:t>June 28, 2025</w:t>
      </w:r>
      <w:r>
        <w:rPr>
          <w:rFonts w:ascii="Times New Roman" w:hAnsi="Times New Roman"/>
          <w:sz w:val="18"/>
        </w:rPr>
        <w:t xml:space="preserve"> </w:t>
      </w:r>
    </w:p>
    <w:p>
      <w:pPr>
        <w:pStyle w:val="TextBody"/>
        <w:bidi w:val="0"/>
        <w:spacing w:lineRule="auto" w:line="324" w:before="120" w:after="283"/>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757"/>
        <w:gridCol w:w="8764"/>
        <w:gridCol w:w="146"/>
        <w:gridCol w:w="538"/>
      </w:tblGrid>
      <w:tr>
        <w:trPr/>
        <w:tc>
          <w:tcPr>
            <w:tcW w:w="757" w:type="dxa"/>
            <w:tcBorders/>
            <w:vAlign w:val="center"/>
          </w:tcPr>
          <w:p>
            <w:pPr>
              <w:pStyle w:val="TableContents"/>
              <w:bidi w:val="0"/>
              <w:spacing w:before="0" w:after="283"/>
              <w:jc w:val="left"/>
              <w:rPr/>
            </w:pPr>
            <w:r>
              <w:rPr/>
              <w:t> </w:t>
            </w:r>
          </w:p>
        </w:tc>
        <w:tc>
          <w:tcPr>
            <w:tcW w:w="876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pPr>
            <w:r>
              <w:rPr/>
              <w:t> </w:t>
            </w:r>
          </w:p>
        </w:tc>
      </w:tr>
      <w:tr>
        <w:trPr/>
        <w:tc>
          <w:tcPr>
            <w:tcW w:w="9521" w:type="dxa"/>
            <w:gridSpan w:val="2"/>
            <w:tcBorders/>
            <w:tcMar>
              <w:top w:w="0" w:type="dxa"/>
              <w:left w:w="0" w:type="dxa"/>
              <w:bottom w:w="0" w:type="dxa"/>
              <w:right w:w="0" w:type="dxa"/>
            </w:tcMar>
            <w:vAlign w:val="center"/>
          </w:tcPr>
          <w:p>
            <w:pPr>
              <w:pStyle w:val="TableContents"/>
              <w:bidi w:val="0"/>
              <w:spacing w:lineRule="auto" w:line="324" w:before="75" w:after="283"/>
              <w:jc w:val="left"/>
              <w:rPr/>
            </w:pPr>
            <w:r>
              <w:rPr/>
              <w:t> </w:t>
            </w:r>
            <w:hyperlink w:anchor="Section4">
              <w:r>
                <w:rPr>
                  <w:rStyle w:val="InternetLink"/>
                  <w:b/>
                  <w:color w:val="000000"/>
                  <w:sz w:val="18"/>
                </w:rPr>
                <w:t>Part I - Financial Information</w:t>
              </w:r>
            </w:hyperlink>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Page</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5">
              <w:r>
                <w:rPr>
                  <w:rStyle w:val="InternetLink"/>
                  <w:color w:val="000000"/>
                </w:rPr>
                <w:t>Item 1</w:t>
              </w:r>
            </w:hyperlink>
            <w:r>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5">
              <w:r>
                <w:rPr>
                  <w:rStyle w:val="InternetLink"/>
                  <w:color w:val="000000"/>
                  <w:sz w:val="18"/>
                </w:rPr>
                <w:t>Financial Statements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pPr>
            <w:r>
              <w:rPr/>
              <w:t> </w:t>
            </w:r>
            <w:r>
              <w:rPr>
                <w:color w:val="000000"/>
                <w:sz w:val="18"/>
              </w:rPr>
              <w:t>2</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6">
              <w:r>
                <w:rPr>
                  <w:rStyle w:val="InternetLink"/>
                  <w:color w:val="000000"/>
                  <w:sz w:val="18"/>
                </w:rPr>
                <w:t>Consolidated and Combined Statements of Operations and Consolidated and Combined Statements of Comprehensive Income</w:t>
              </w:r>
            </w:hyperlink>
            <w:r>
              <w:rPr>
                <w:sz w:val="18"/>
              </w:rPr>
              <w:t xml:space="preserve"> (Loss)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65" w:after="20"/>
              <w:jc w:val="right"/>
              <w:rPr>
                <w:sz w:val="18"/>
              </w:rPr>
            </w:pPr>
            <w:r>
              <w:rPr>
                <w:color w:val="000000"/>
                <w:sz w:val="18"/>
              </w:rPr>
              <w:t>2</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lineRule="auto" w:line="321" w:before="0" w:after="0"/>
              <w:jc w:val="left"/>
              <w:rPr/>
            </w:pPr>
            <w:hyperlink w:anchor="Section7">
              <w:r>
                <w:rPr>
                  <w:rStyle w:val="InternetLink"/>
                  <w:color w:val="000000"/>
                  <w:sz w:val="18"/>
                </w:rPr>
                <w:t>Consolidated and Combined Balance Sheets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0" w:after="0"/>
              <w:jc w:val="right"/>
              <w:rPr>
                <w:sz w:val="18"/>
              </w:rPr>
            </w:pPr>
            <w:r>
              <w:rPr>
                <w:color w:val="000000"/>
                <w:sz w:val="18"/>
              </w:rPr>
              <w:t>3</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8">
              <w:r>
                <w:rPr>
                  <w:rStyle w:val="InternetLink"/>
                  <w:color w:val="000000"/>
                  <w:sz w:val="18"/>
                </w:rPr>
                <w:t>Consolidated and Combined Statements of Cash Flows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65" w:after="20"/>
              <w:jc w:val="right"/>
              <w:rPr>
                <w:sz w:val="18"/>
              </w:rPr>
            </w:pPr>
            <w:r>
              <w:rPr>
                <w:color w:val="000000"/>
                <w:sz w:val="18"/>
              </w:rPr>
              <w:t>4</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9">
              <w:r>
                <w:rPr>
                  <w:rStyle w:val="InternetLink"/>
                  <w:color w:val="000000"/>
                  <w:sz w:val="18"/>
                </w:rPr>
                <w:t>Consolidated and Combined Statements of Changes in Stockholders' Equity</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65" w:after="20"/>
              <w:jc w:val="right"/>
              <w:rPr>
                <w:sz w:val="18"/>
              </w:rPr>
            </w:pPr>
            <w:r>
              <w:rPr>
                <w:color w:val="000000"/>
                <w:sz w:val="18"/>
              </w:rPr>
              <w:t>5</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before="0" w:after="283"/>
              <w:jc w:val="left"/>
              <w:rPr/>
            </w:pPr>
            <w:r>
              <w:rPr/>
              <w:t>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10">
              <w:r>
                <w:rPr>
                  <w:rStyle w:val="InternetLink"/>
                  <w:color w:val="000000"/>
                  <w:sz w:val="18"/>
                </w:rPr>
                <w:t>Notes to Consolidated and Combined Financial Statements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6</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23">
              <w:r>
                <w:rPr>
                  <w:rStyle w:val="InternetLink"/>
                  <w:color w:val="000000"/>
                  <w:sz w:val="18"/>
                </w:rPr>
                <w:t>Item 2</w:t>
              </w:r>
            </w:hyperlink>
            <w:r>
              <w:rPr>
                <w:sz w:val="18"/>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23">
              <w:r>
                <w:rPr>
                  <w:rStyle w:val="InternetLink"/>
                  <w:sz w:val="18"/>
                  <w:u w:val="single"/>
                </w:rPr>
                <w:t>Management’s Discussion and Analysis of Financial Condition and Results of Operations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13</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27">
              <w:r>
                <w:rPr>
                  <w:rStyle w:val="InternetLink"/>
                  <w:color w:val="000000"/>
                  <w:sz w:val="18"/>
                </w:rPr>
                <w:t>Item 3</w:t>
              </w:r>
            </w:hyperlink>
            <w:r>
              <w:rPr>
                <w:sz w:val="18"/>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27">
              <w:r>
                <w:rPr>
                  <w:rStyle w:val="InternetLink"/>
                  <w:sz w:val="18"/>
                  <w:u w:val="single"/>
                </w:rPr>
                <w:t>Quantitative and Qualitative Disclosures About Market Risks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17</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28">
              <w:r>
                <w:rPr>
                  <w:rStyle w:val="InternetLink"/>
                  <w:color w:val="000000"/>
                  <w:sz w:val="18"/>
                </w:rPr>
                <w:t>Item 4</w:t>
              </w:r>
            </w:hyperlink>
            <w:r>
              <w:rPr>
                <w:sz w:val="18"/>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28">
              <w:r>
                <w:rPr>
                  <w:rStyle w:val="InternetLink"/>
                  <w:sz w:val="18"/>
                  <w:u w:val="single"/>
                </w:rPr>
                <w:t>Controls and Procedures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17</w:t>
            </w:r>
            <w:r>
              <w:rPr>
                <w:sz w:val="18"/>
              </w:rPr>
              <w:t xml:space="preserve"> </w:t>
            </w:r>
          </w:p>
        </w:tc>
      </w:tr>
      <w:tr>
        <w:trPr/>
        <w:tc>
          <w:tcPr>
            <w:tcW w:w="9521" w:type="dxa"/>
            <w:gridSpan w:val="2"/>
            <w:tcBorders/>
            <w:tcMar>
              <w:top w:w="0" w:type="dxa"/>
              <w:left w:w="0" w:type="dxa"/>
              <w:bottom w:w="0" w:type="dxa"/>
              <w:right w:w="0" w:type="dxa"/>
            </w:tcMar>
            <w:vAlign w:val="center"/>
          </w:tcPr>
          <w:p>
            <w:pPr>
              <w:pStyle w:val="TableContents"/>
              <w:bidi w:val="0"/>
              <w:spacing w:lineRule="auto" w:line="321" w:before="75" w:after="30"/>
              <w:jc w:val="left"/>
              <w:rPr/>
            </w:pPr>
            <w:hyperlink w:anchor="Section29">
              <w:r>
                <w:rPr>
                  <w:rStyle w:val="InternetLink"/>
                  <w:b/>
                  <w:color w:val="000000"/>
                  <w:sz w:val="18"/>
                </w:rPr>
                <w:t>Part II – Other Information</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18</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65" w:after="20"/>
              <w:ind w:left="0" w:right="15" w:hanging="0"/>
              <w:jc w:val="both"/>
              <w:rPr>
                <w:sz w:val="18"/>
              </w:rPr>
            </w:pPr>
            <w:r>
              <w:rPr>
                <w:color w:val="000000"/>
                <w:sz w:val="18"/>
              </w:rPr>
              <w:t>Item 1</w:t>
            </w:r>
            <w:r>
              <w:rPr>
                <w:sz w:val="18"/>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65" w:after="20"/>
              <w:jc w:val="left"/>
              <w:rPr/>
            </w:pPr>
            <w:hyperlink w:anchor="Section30">
              <w:r>
                <w:rPr>
                  <w:rStyle w:val="InternetLink"/>
                  <w:sz w:val="18"/>
                  <w:u w:val="single"/>
                </w:rPr>
                <w:t>Legal Proceedings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65" w:after="20"/>
              <w:jc w:val="right"/>
              <w:rPr>
                <w:sz w:val="18"/>
              </w:rPr>
            </w:pPr>
            <w:r>
              <w:rPr>
                <w:color w:val="000000"/>
                <w:sz w:val="18"/>
              </w:rPr>
              <w:t>18</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75" w:after="30"/>
              <w:ind w:left="0" w:right="15" w:hanging="0"/>
              <w:jc w:val="both"/>
              <w:rPr>
                <w:sz w:val="18"/>
              </w:rPr>
            </w:pPr>
            <w:r>
              <w:rPr>
                <w:color w:val="000000"/>
                <w:sz w:val="18"/>
              </w:rPr>
              <w:t>Item 1A</w:t>
            </w:r>
            <w:r>
              <w:rPr>
                <w:sz w:val="18"/>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31">
              <w:r>
                <w:rPr>
                  <w:rStyle w:val="InternetLink"/>
                  <w:sz w:val="18"/>
                  <w:u w:val="single"/>
                </w:rPr>
                <w:t>Risk Factors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18</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lineRule="auto" w:line="321" w:before="75" w:after="30"/>
              <w:jc w:val="both"/>
              <w:rPr/>
            </w:pPr>
            <w:hyperlink w:anchor="Section32">
              <w:r>
                <w:rPr>
                  <w:rStyle w:val="InternetLink"/>
                  <w:color w:val="000000"/>
                  <w:sz w:val="18"/>
                </w:rPr>
                <w:t>Item 6</w:t>
              </w:r>
            </w:hyperlink>
            <w:r>
              <w:rPr>
                <w:sz w:val="18"/>
              </w:rPr>
              <w:t xml:space="preserve">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32">
              <w:r>
                <w:rPr>
                  <w:rStyle w:val="InternetLink"/>
                  <w:sz w:val="18"/>
                  <w:u w:val="single"/>
                </w:rPr>
                <w:t>Exhibits</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19</w:t>
            </w:r>
            <w:r>
              <w:rPr>
                <w:sz w:val="18"/>
              </w:rPr>
              <w:t xml:space="preserve"> </w:t>
            </w:r>
          </w:p>
        </w:tc>
      </w:tr>
      <w:tr>
        <w:trPr/>
        <w:tc>
          <w:tcPr>
            <w:tcW w:w="757" w:type="dxa"/>
            <w:tcBorders/>
            <w:tcMar>
              <w:top w:w="0" w:type="dxa"/>
              <w:left w:w="0" w:type="dxa"/>
              <w:bottom w:w="0" w:type="dxa"/>
              <w:right w:w="0" w:type="dxa"/>
            </w:tcMar>
            <w:vAlign w:val="center"/>
          </w:tcPr>
          <w:p>
            <w:pPr>
              <w:pStyle w:val="TableContents"/>
              <w:bidi w:val="0"/>
              <w:spacing w:before="0" w:after="283"/>
              <w:jc w:val="both"/>
              <w:rPr/>
            </w:pPr>
            <w:r>
              <w:rPr/>
              <w:t> </w:t>
            </w:r>
          </w:p>
        </w:tc>
        <w:tc>
          <w:tcPr>
            <w:tcW w:w="8764" w:type="dxa"/>
            <w:tcBorders/>
            <w:tcMar>
              <w:top w:w="0" w:type="dxa"/>
              <w:left w:w="0" w:type="dxa"/>
              <w:bottom w:w="0" w:type="dxa"/>
              <w:right w:w="0" w:type="dxa"/>
            </w:tcMar>
            <w:vAlign w:val="center"/>
          </w:tcPr>
          <w:p>
            <w:pPr>
              <w:pStyle w:val="TableContents"/>
              <w:bidi w:val="0"/>
              <w:spacing w:lineRule="auto" w:line="321" w:before="75" w:after="30"/>
              <w:jc w:val="left"/>
              <w:rPr/>
            </w:pPr>
            <w:hyperlink w:anchor="Section33">
              <w:r>
                <w:rPr>
                  <w:rStyle w:val="InternetLink"/>
                  <w:sz w:val="18"/>
                  <w:u w:val="single"/>
                </w:rPr>
                <w:t>Signature</w:t>
              </w:r>
            </w:hyperlink>
            <w:r>
              <w:rPr>
                <w:sz w:val="18"/>
              </w:rPr>
              <w:t xml:space="preserve"> </w:t>
            </w:r>
          </w:p>
        </w:tc>
        <w:tc>
          <w:tcPr>
            <w:tcW w:w="146" w:type="dxa"/>
            <w:tcBorders/>
            <w:vAlign w:val="center"/>
          </w:tcPr>
          <w:p>
            <w:pPr>
              <w:pStyle w:val="TableContents"/>
              <w:bidi w:val="0"/>
              <w:spacing w:before="0" w:after="283"/>
              <w:jc w:val="left"/>
              <w:rPr/>
            </w:pPr>
            <w:r>
              <w:rPr/>
              <w:t> </w:t>
            </w:r>
          </w:p>
        </w:tc>
        <w:tc>
          <w:tcPr>
            <w:tcW w:w="538" w:type="dxa"/>
            <w:tcBorders/>
            <w:tcMar>
              <w:top w:w="0" w:type="dxa"/>
              <w:left w:w="0" w:type="dxa"/>
              <w:bottom w:w="0" w:type="dxa"/>
              <w:right w:w="0" w:type="dxa"/>
            </w:tcMar>
            <w:vAlign w:val="center"/>
          </w:tcPr>
          <w:p>
            <w:pPr>
              <w:pStyle w:val="TableContents"/>
              <w:bidi w:val="0"/>
              <w:spacing w:lineRule="auto" w:line="321" w:before="75" w:after="30"/>
              <w:jc w:val="right"/>
              <w:rPr>
                <w:sz w:val="18"/>
              </w:rPr>
            </w:pPr>
            <w:r>
              <w:rPr>
                <w:color w:val="000000"/>
                <w:sz w:val="18"/>
              </w:rPr>
              <w:t>20</w:t>
            </w:r>
            <w:r>
              <w:rPr>
                <w:sz w:val="18"/>
              </w:rPr>
              <w:t xml:space="preserve"> </w:t>
            </w:r>
          </w:p>
        </w:tc>
      </w:tr>
    </w:tbl>
    <w:p>
      <w:pPr>
        <w:pStyle w:val="TextBody"/>
        <w:bidi w:val="0"/>
        <w:spacing w:lineRule="auto" w:line="324" w:before="0" w:after="0"/>
        <w:jc w:val="left"/>
        <w:rPr/>
      </w:pPr>
      <w:r>
        <w:rPr/>
        <w:t xml:space="preserve">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Form 10-Q</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left"/>
        <w:rPr>
          <w:rFonts w:ascii="Times New Roman" w:hAnsi="Times New Roman"/>
          <w:sz w:val="18"/>
        </w:rPr>
      </w:pPr>
      <w:bookmarkStart w:id="2" w:name="Section4"/>
      <w:bookmarkEnd w:id="2"/>
      <w:r>
        <w:rPr>
          <w:rFonts w:ascii="Times New Roman" w:hAnsi="Times New Roman"/>
          <w:b/>
          <w:sz w:val="20"/>
        </w:rPr>
        <w:t>Part I – Financial Information</w:t>
      </w:r>
      <w:r>
        <w:rPr>
          <w:rFonts w:ascii="Times New Roman" w:hAnsi="Times New Roman"/>
          <w:sz w:val="18"/>
        </w:rPr>
        <w:t xml:space="preserve"> </w:t>
      </w:r>
    </w:p>
    <w:p>
      <w:pPr>
        <w:pStyle w:val="TextBody"/>
        <w:bidi w:val="0"/>
        <w:spacing w:lineRule="auto" w:line="324" w:before="0" w:after="0"/>
        <w:jc w:val="left"/>
        <w:rPr/>
      </w:pPr>
      <w:r>
        <w:rPr/>
        <w:t xml:space="preserve">  </w:t>
      </w:r>
    </w:p>
    <w:p>
      <w:pPr>
        <w:pStyle w:val="TextBody"/>
        <w:bidi w:val="0"/>
        <w:spacing w:lineRule="auto" w:line="324" w:before="120" w:after="283"/>
        <w:jc w:val="left"/>
        <w:rPr>
          <w:rFonts w:ascii="Times New Roman" w:hAnsi="Times New Roman"/>
          <w:sz w:val="18"/>
        </w:rPr>
      </w:pPr>
      <w:bookmarkStart w:id="3" w:name="Section5"/>
      <w:bookmarkEnd w:id="3"/>
      <w:r>
        <w:rPr>
          <w:rFonts w:ascii="Times New Roman" w:hAnsi="Times New Roman"/>
          <w:b/>
          <w:sz w:val="20"/>
        </w:rPr>
        <w:t>Item 1 – Financial Statements</w:t>
      </w:r>
      <w:r>
        <w:rPr>
          <w:rFonts w:ascii="Times New Roman" w:hAnsi="Times New Roman"/>
          <w:sz w:val="18"/>
        </w:rPr>
        <w:t xml:space="preserve"> </w:t>
      </w:r>
    </w:p>
    <w:p>
      <w:pPr>
        <w:pStyle w:val="TextBody"/>
        <w:bidi w:val="0"/>
        <w:spacing w:lineRule="auto" w:line="324" w:before="120" w:after="283"/>
        <w:jc w:val="left"/>
        <w:rPr/>
      </w:pPr>
      <w:r>
        <w:rPr/>
        <w:t xml:space="preserve">  </w:t>
      </w:r>
    </w:p>
    <w:p>
      <w:pPr>
        <w:pStyle w:val="TextBody"/>
        <w:bidi w:val="0"/>
        <w:spacing w:lineRule="auto" w:line="336" w:before="0" w:after="0"/>
        <w:jc w:val="center"/>
        <w:rPr>
          <w:rFonts w:ascii="Times New Roman" w:hAnsi="Times New Roman"/>
          <w:sz w:val="18"/>
        </w:rPr>
      </w:pPr>
      <w:bookmarkStart w:id="4" w:name="Section6"/>
      <w:bookmarkEnd w:id="4"/>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Operations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21"/>
        <w:gridCol w:w="170"/>
        <w:gridCol w:w="1337"/>
        <w:gridCol w:w="185"/>
        <w:gridCol w:w="90"/>
        <w:gridCol w:w="170"/>
        <w:gridCol w:w="1277"/>
        <w:gridCol w:w="185"/>
        <w:gridCol w:w="90"/>
        <w:gridCol w:w="170"/>
        <w:gridCol w:w="1343"/>
        <w:gridCol w:w="185"/>
        <w:gridCol w:w="90"/>
        <w:gridCol w:w="170"/>
        <w:gridCol w:w="1290"/>
        <w:gridCol w:w="232"/>
      </w:tblGrid>
      <w:tr>
        <w:trPr/>
        <w:tc>
          <w:tcPr>
            <w:tcW w:w="32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221" w:type="dxa"/>
            <w:tcBorders/>
            <w:vAlign w:val="center"/>
          </w:tcPr>
          <w:p>
            <w:pPr>
              <w:pStyle w:val="TableContents"/>
              <w:bidi w:val="0"/>
              <w:spacing w:before="0" w:after="283"/>
              <w:jc w:val="left"/>
              <w:rPr/>
            </w:pPr>
            <w:r>
              <w:rPr/>
              <w:t> </w:t>
            </w:r>
          </w:p>
        </w:tc>
        <w:tc>
          <w:tcPr>
            <w:tcW w:w="3414"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48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3221" w:type="dxa"/>
            <w:tcBorders/>
            <w:vAlign w:val="center"/>
          </w:tcPr>
          <w:p>
            <w:pPr>
              <w:pStyle w:val="TableContents"/>
              <w:bidi w:val="0"/>
              <w:spacing w:before="0" w:after="283"/>
              <w:jc w:val="left"/>
              <w:rPr>
                <w:sz w:val="16"/>
              </w:rPr>
            </w:pPr>
            <w:r>
              <w:rPr>
                <w:sz w:val="16"/>
              </w:rPr>
              <w:t>(in millions of dollars, except per share amounts)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7"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7"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43"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0"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23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21" w:type="dxa"/>
            <w:tcBorders/>
            <w:vAlign w:val="center"/>
          </w:tcPr>
          <w:p>
            <w:pPr>
              <w:pStyle w:val="TableContents"/>
              <w:bidi w:val="0"/>
              <w:spacing w:before="0" w:after="283"/>
              <w:jc w:val="left"/>
              <w:rPr>
                <w:b/>
              </w:rPr>
            </w:pPr>
            <w:r>
              <w:rPr>
                <w:b/>
              </w:rPr>
              <w:t>Net sales</w:t>
            </w:r>
          </w:p>
        </w:tc>
        <w:tc>
          <w:tcPr>
            <w:tcW w:w="170" w:type="dxa"/>
            <w:tcBorders/>
            <w:vAlign w:val="center"/>
          </w:tcPr>
          <w:p>
            <w:pPr>
              <w:pStyle w:val="TableContents"/>
              <w:bidi w:val="0"/>
              <w:spacing w:before="0" w:after="283"/>
              <w:jc w:val="left"/>
              <w:rPr/>
            </w:pPr>
            <w:r>
              <w:rPr/>
              <w:t>$</w:t>
            </w:r>
          </w:p>
        </w:tc>
        <w:tc>
          <w:tcPr>
            <w:tcW w:w="1337" w:type="dxa"/>
            <w:tcBorders/>
            <w:vAlign w:val="center"/>
          </w:tcPr>
          <w:p>
            <w:pPr>
              <w:pStyle w:val="TableContents"/>
              <w:bidi w:val="0"/>
              <w:spacing w:before="0" w:after="283"/>
              <w:jc w:val="right"/>
              <w:rPr>
                <w:b/>
              </w:rPr>
            </w:pPr>
            <w:r>
              <w:rPr>
                <w:b/>
              </w:rPr>
              <w:t>839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77" w:type="dxa"/>
            <w:tcBorders/>
            <w:vAlign w:val="center"/>
          </w:tcPr>
          <w:p>
            <w:pPr>
              <w:pStyle w:val="TableContents"/>
              <w:bidi w:val="0"/>
              <w:spacing w:before="0" w:after="283"/>
              <w:jc w:val="right"/>
              <w:rPr/>
            </w:pPr>
            <w:r>
              <w:rPr/>
              <w:t>556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43" w:type="dxa"/>
            <w:tcBorders/>
            <w:vAlign w:val="center"/>
          </w:tcPr>
          <w:p>
            <w:pPr>
              <w:pStyle w:val="TableContents"/>
              <w:bidi w:val="0"/>
              <w:spacing w:before="0" w:after="283"/>
              <w:jc w:val="right"/>
              <w:rPr>
                <w:b/>
              </w:rPr>
            </w:pPr>
            <w:r>
              <w:rPr>
                <w:b/>
              </w:rPr>
              <w:t>2,365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90" w:type="dxa"/>
            <w:tcBorders/>
            <w:vAlign w:val="center"/>
          </w:tcPr>
          <w:p>
            <w:pPr>
              <w:pStyle w:val="TableContents"/>
              <w:bidi w:val="0"/>
              <w:spacing w:before="0" w:after="283"/>
              <w:jc w:val="right"/>
              <w:rPr/>
            </w:pPr>
            <w:r>
              <w:rPr/>
              <w:t>1,633</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Costs and expenses:</w:t>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3221" w:type="dxa"/>
            <w:tcBorders/>
            <w:vAlign w:val="center"/>
          </w:tcPr>
          <w:p>
            <w:pPr>
              <w:pStyle w:val="TableContents"/>
              <w:bidi w:val="0"/>
              <w:spacing w:before="0" w:after="283"/>
              <w:jc w:val="left"/>
              <w:rPr/>
            </w:pPr>
            <w:r>
              <w:rPr/>
              <w:t>Cost of goods sold</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749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489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2,116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1,454</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Selling, general and administrative</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141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82</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Amortization of intangibles</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36</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Transaction and other activities</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69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18</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Corporate expense allocation</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7"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7" w:type="dxa"/>
            <w:tcBorders>
              <w:bottom w:val="single" w:sz="2" w:space="0" w:color="000000"/>
            </w:tcBorders>
            <w:tcMar>
              <w:bottom w:w="28" w:type="dxa"/>
            </w:tcMar>
            <w:vAlign w:val="center"/>
          </w:tcPr>
          <w:p>
            <w:pPr>
              <w:pStyle w:val="TableContents"/>
              <w:bidi w:val="0"/>
              <w:spacing w:before="0" w:after="283"/>
              <w:jc w:val="right"/>
              <w:rPr/>
            </w:pPr>
            <w:r>
              <w:rPr/>
              <w:t>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right"/>
              <w:rPr>
                <w:b/>
              </w:rPr>
            </w:pPr>
            <w:r>
              <w:rPr>
                <w:b/>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90" w:type="dxa"/>
            <w:tcBorders>
              <w:bottom w:val="single" w:sz="2" w:space="0" w:color="000000"/>
            </w:tcBorders>
            <w:tcMar>
              <w:bottom w:w="28" w:type="dxa"/>
            </w:tcMar>
            <w:vAlign w:val="center"/>
          </w:tcPr>
          <w:p>
            <w:pPr>
              <w:pStyle w:val="TableContents"/>
              <w:bidi w:val="0"/>
              <w:spacing w:before="0" w:after="283"/>
              <w:jc w:val="right"/>
              <w:rPr/>
            </w:pPr>
            <w:r>
              <w:rPr/>
              <w:t>17</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b/>
              </w:rPr>
            </w:pPr>
            <w:r>
              <w:rPr>
                <w:b/>
              </w:rPr>
              <w:t>Operating income (loss)</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26</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Other expense (income), net</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26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(1</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Interest expense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7" w:type="dxa"/>
            <w:tcBorders>
              <w:bottom w:val="single" w:sz="2" w:space="0" w:color="000000"/>
            </w:tcBorders>
            <w:tcMar>
              <w:bottom w:w="28" w:type="dxa"/>
            </w:tcMar>
            <w:vAlign w:val="center"/>
          </w:tcPr>
          <w:p>
            <w:pPr>
              <w:pStyle w:val="TableContents"/>
              <w:bidi w:val="0"/>
              <w:spacing w:before="0" w:after="283"/>
              <w:jc w:val="right"/>
              <w:rPr>
                <w:b/>
              </w:rPr>
            </w:pPr>
            <w:r>
              <w:rPr>
                <w:b/>
              </w:rPr>
              <w:t>37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7" w:type="dxa"/>
            <w:tcBorders>
              <w:bottom w:val="single" w:sz="2" w:space="0" w:color="000000"/>
            </w:tcBorders>
            <w:tcMar>
              <w:bottom w:w="28" w:type="dxa"/>
            </w:tcMar>
            <w:vAlign w:val="center"/>
          </w:tcPr>
          <w:p>
            <w:pPr>
              <w:pStyle w:val="TableContents"/>
              <w:bidi w:val="0"/>
              <w:spacing w:before="0" w:after="283"/>
              <w:jc w:val="right"/>
              <w:rPr/>
            </w:pPr>
            <w:r>
              <w:rPr/>
              <w:t>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right"/>
              <w:rPr>
                <w:b/>
              </w:rPr>
            </w:pPr>
            <w:r>
              <w:rPr>
                <w:b/>
              </w:rPr>
              <w:t>102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90" w:type="dxa"/>
            <w:tcBorders>
              <w:bottom w:val="single" w:sz="2" w:space="0" w:color="000000"/>
            </w:tcBorders>
            <w:tcMar>
              <w:bottom w:w="28" w:type="dxa"/>
            </w:tcMar>
            <w:vAlign w:val="center"/>
          </w:tcPr>
          <w:p>
            <w:pPr>
              <w:pStyle w:val="TableContents"/>
              <w:bidi w:val="0"/>
              <w:spacing w:before="0" w:after="283"/>
              <w:jc w:val="right"/>
              <w:rPr/>
            </w:pPr>
            <w:r>
              <w:rPr/>
              <w:t>3</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b/>
              </w:rPr>
            </w:pPr>
            <w:r>
              <w:rPr>
                <w:b/>
              </w:rPr>
              <w:t>Income (loss) before income taxes</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(24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16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(133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24</w:t>
            </w:r>
          </w:p>
        </w:tc>
        <w:tc>
          <w:tcPr>
            <w:tcW w:w="232" w:type="dxa"/>
            <w:tcBorders/>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Income tax benefit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7" w:type="dxa"/>
            <w:tcBorders>
              <w:bottom w:val="single" w:sz="2" w:space="0" w:color="000000"/>
            </w:tcBorders>
            <w:tcMar>
              <w:bottom w:w="28" w:type="dxa"/>
            </w:tcMar>
            <w:vAlign w:val="center"/>
          </w:tcPr>
          <w:p>
            <w:pPr>
              <w:pStyle w:val="TableContents"/>
              <w:bidi w:val="0"/>
              <w:spacing w:before="0" w:after="283"/>
              <w:jc w:val="right"/>
              <w:rPr>
                <w:b/>
              </w:rPr>
            </w:pPr>
            <w:r>
              <w:rPr>
                <w:b/>
              </w:rPr>
              <w:t>(6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77" w:type="dxa"/>
            <w:tcBorders>
              <w:bottom w:val="single" w:sz="2" w:space="0" w:color="000000"/>
            </w:tcBorders>
            <w:tcMar>
              <w:bottom w:w="28" w:type="dxa"/>
            </w:tcMar>
            <w:vAlign w:val="center"/>
          </w:tcPr>
          <w:p>
            <w:pPr>
              <w:pStyle w:val="TableContents"/>
              <w:bidi w:val="0"/>
              <w:spacing w:before="0" w:after="283"/>
              <w:jc w:val="right"/>
              <w:rPr/>
            </w:pPr>
            <w:r>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43" w:type="dxa"/>
            <w:tcBorders>
              <w:bottom w:val="single" w:sz="2" w:space="0" w:color="000000"/>
            </w:tcBorders>
            <w:tcMar>
              <w:bottom w:w="28" w:type="dxa"/>
            </w:tcMar>
            <w:vAlign w:val="center"/>
          </w:tcPr>
          <w:p>
            <w:pPr>
              <w:pStyle w:val="TableContents"/>
              <w:bidi w:val="0"/>
              <w:spacing w:before="0" w:after="283"/>
              <w:jc w:val="right"/>
              <w:rPr>
                <w:b/>
              </w:rPr>
            </w:pPr>
            <w:r>
              <w:rPr>
                <w:b/>
              </w:rPr>
              <w:t>(14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90" w:type="dxa"/>
            <w:tcBorders>
              <w:bottom w:val="single" w:sz="2" w:space="0" w:color="000000"/>
            </w:tcBorders>
            <w:tcMar>
              <w:bottom w:w="28" w:type="dxa"/>
            </w:tcMar>
            <w:vAlign w:val="center"/>
          </w:tcPr>
          <w:p>
            <w:pPr>
              <w:pStyle w:val="TableContents"/>
              <w:bidi w:val="0"/>
              <w:spacing w:before="0" w:after="283"/>
              <w:jc w:val="right"/>
              <w:rPr/>
            </w:pPr>
            <w:r>
              <w:rPr/>
              <w:t>(1</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b/>
              </w:rPr>
            </w:pPr>
            <w:r>
              <w:rPr>
                <w:b/>
              </w:rPr>
              <w:t>Net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37" w:type="dxa"/>
            <w:tcBorders>
              <w:bottom w:val="double" w:sz="6" w:space="0" w:color="000000"/>
            </w:tcBorders>
            <w:tcMar>
              <w:bottom w:w="28" w:type="dxa"/>
            </w:tcMar>
            <w:vAlign w:val="center"/>
          </w:tcPr>
          <w:p>
            <w:pPr>
              <w:pStyle w:val="TableContents"/>
              <w:bidi w:val="0"/>
              <w:spacing w:before="0" w:after="283"/>
              <w:jc w:val="right"/>
              <w:rPr>
                <w:b/>
              </w:rPr>
            </w:pPr>
            <w:r>
              <w:rPr>
                <w:b/>
              </w:rPr>
              <w:t>(18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77" w:type="dxa"/>
            <w:tcBorders>
              <w:bottom w:val="double" w:sz="6" w:space="0" w:color="000000"/>
            </w:tcBorders>
            <w:tcMar>
              <w:bottom w:w="28" w:type="dxa"/>
            </w:tcMar>
            <w:vAlign w:val="center"/>
          </w:tcPr>
          <w:p>
            <w:pPr>
              <w:pStyle w:val="TableContents"/>
              <w:bidi w:val="0"/>
              <w:spacing w:before="0" w:after="283"/>
              <w:jc w:val="right"/>
              <w:rPr/>
            </w:pPr>
            <w:r>
              <w:rPr/>
              <w:t>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43" w:type="dxa"/>
            <w:tcBorders>
              <w:bottom w:val="double" w:sz="6" w:space="0" w:color="000000"/>
            </w:tcBorders>
            <w:tcMar>
              <w:bottom w:w="28" w:type="dxa"/>
            </w:tcMar>
            <w:vAlign w:val="center"/>
          </w:tcPr>
          <w:p>
            <w:pPr>
              <w:pStyle w:val="TableContents"/>
              <w:bidi w:val="0"/>
              <w:spacing w:before="0" w:after="283"/>
              <w:jc w:val="right"/>
              <w:rPr>
                <w:b/>
              </w:rPr>
            </w:pPr>
            <w:r>
              <w:rPr>
                <w:b/>
              </w:rPr>
              <w:t>(119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90" w:type="dxa"/>
            <w:tcBorders>
              <w:bottom w:val="double" w:sz="6" w:space="0" w:color="000000"/>
            </w:tcBorders>
            <w:tcMar>
              <w:bottom w:w="28" w:type="dxa"/>
            </w:tcMar>
            <w:vAlign w:val="center"/>
          </w:tcPr>
          <w:p>
            <w:pPr>
              <w:pStyle w:val="TableContents"/>
              <w:bidi w:val="0"/>
              <w:spacing w:before="0" w:after="283"/>
              <w:jc w:val="right"/>
              <w:rPr/>
            </w:pPr>
            <w:r>
              <w:rPr/>
              <w:t>25</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221"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3221" w:type="dxa"/>
            <w:tcBorders/>
            <w:vAlign w:val="center"/>
          </w:tcPr>
          <w:p>
            <w:pPr>
              <w:pStyle w:val="TableContents"/>
              <w:bidi w:val="0"/>
              <w:spacing w:before="0" w:after="283"/>
              <w:jc w:val="left"/>
              <w:rPr/>
            </w:pPr>
            <w:r>
              <w:rPr/>
              <w:t>Net income (loss) per share:</w:t>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3221" w:type="dxa"/>
            <w:tcBorders/>
            <w:vAlign w:val="center"/>
          </w:tcPr>
          <w:p>
            <w:pPr>
              <w:pStyle w:val="TableContents"/>
              <w:bidi w:val="0"/>
              <w:spacing w:before="0" w:after="283"/>
              <w:jc w:val="left"/>
              <w:rPr/>
            </w:pPr>
            <w:r>
              <w:rPr/>
              <w:t>Basic and Diluted</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(0.51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77" w:type="dxa"/>
            <w:tcBorders/>
            <w:vAlign w:val="center"/>
          </w:tcPr>
          <w:p>
            <w:pPr>
              <w:pStyle w:val="TableContents"/>
              <w:bidi w:val="0"/>
              <w:spacing w:before="0" w:after="283"/>
              <w:jc w:val="right"/>
              <w:rPr/>
            </w:pPr>
            <w:r>
              <w:rPr/>
              <w:t>0.60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43" w:type="dxa"/>
            <w:tcBorders/>
            <w:vAlign w:val="center"/>
          </w:tcPr>
          <w:p>
            <w:pPr>
              <w:pStyle w:val="TableContents"/>
              <w:bidi w:val="0"/>
              <w:spacing w:before="0" w:after="283"/>
              <w:jc w:val="right"/>
              <w:rPr>
                <w:b/>
              </w:rPr>
            </w:pPr>
            <w:r>
              <w:rPr>
                <w:b/>
              </w:rPr>
              <w:t>(3.35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90" w:type="dxa"/>
            <w:tcBorders/>
            <w:vAlign w:val="center"/>
          </w:tcPr>
          <w:p>
            <w:pPr>
              <w:pStyle w:val="TableContents"/>
              <w:bidi w:val="0"/>
              <w:spacing w:before="0" w:after="283"/>
              <w:jc w:val="right"/>
              <w:rPr/>
            </w:pPr>
            <w:r>
              <w:rPr/>
              <w:t>0.79</w:t>
            </w:r>
          </w:p>
        </w:tc>
        <w:tc>
          <w:tcPr>
            <w:tcW w:w="232" w:type="dxa"/>
            <w:tcBorders/>
            <w:vAlign w:val="center"/>
          </w:tcPr>
          <w:p>
            <w:pPr>
              <w:pStyle w:val="TableContents"/>
              <w:bidi w:val="0"/>
              <w:spacing w:before="0" w:after="283"/>
              <w:jc w:val="left"/>
              <w:rPr/>
            </w:pPr>
            <w:r>
              <w:rPr/>
              <w:t> </w:t>
            </w:r>
          </w:p>
        </w:tc>
      </w:tr>
    </w:tbl>
    <w:p>
      <w:pPr>
        <w:pStyle w:val="TextBody"/>
        <w:bidi w:val="0"/>
        <w:spacing w:lineRule="auto" w:line="336" w:before="0" w:after="0"/>
        <w:jc w:val="center"/>
        <w:rPr/>
      </w:pPr>
      <w:r>
        <w:rPr/>
        <w:t> </w:t>
      </w:r>
    </w:p>
    <w:p>
      <w:pPr>
        <w:pStyle w:val="TextBody"/>
        <w:bidi w:val="0"/>
        <w:spacing w:lineRule="auto" w:line="336" w:before="0" w:after="0"/>
        <w:jc w:val="center"/>
        <w:rPr/>
      </w:pPr>
      <w:r>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Comprehensive Income (Loss)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14" w:before="0" w:after="0"/>
        <w:jc w:val="center"/>
        <w:rPr/>
      </w:pPr>
      <w:r>
        <w:rPr/>
        <w:t xml:space="preserve">  </w:t>
      </w:r>
    </w:p>
    <w:tbl>
      <w:tblPr>
        <w:tblW w:w="10205" w:type="dxa"/>
        <w:jc w:val="left"/>
        <w:tblInd w:w="0" w:type="dxa"/>
        <w:tblLayout w:type="fixed"/>
        <w:tblCellMar>
          <w:top w:w="0" w:type="dxa"/>
          <w:left w:w="0" w:type="dxa"/>
          <w:bottom w:w="0" w:type="dxa"/>
          <w:right w:w="0" w:type="dxa"/>
        </w:tblCellMar>
      </w:tblPr>
      <w:tblGrid>
        <w:gridCol w:w="3436"/>
        <w:gridCol w:w="90"/>
        <w:gridCol w:w="170"/>
        <w:gridCol w:w="1265"/>
        <w:gridCol w:w="185"/>
        <w:gridCol w:w="90"/>
        <w:gridCol w:w="170"/>
        <w:gridCol w:w="1205"/>
        <w:gridCol w:w="185"/>
        <w:gridCol w:w="90"/>
        <w:gridCol w:w="170"/>
        <w:gridCol w:w="1265"/>
        <w:gridCol w:w="185"/>
        <w:gridCol w:w="90"/>
        <w:gridCol w:w="170"/>
        <w:gridCol w:w="1205"/>
        <w:gridCol w:w="234"/>
      </w:tblGrid>
      <w:tr>
        <w:trPr/>
        <w:tc>
          <w:tcPr>
            <w:tcW w:w="343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7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319"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3436"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0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23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Net income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b/>
              </w:rPr>
            </w:pPr>
            <w:r>
              <w:rPr>
                <w:b/>
              </w:rPr>
              <w:t>(119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05" w:type="dxa"/>
            <w:tcBorders/>
            <w:vAlign w:val="center"/>
          </w:tcPr>
          <w:p>
            <w:pPr>
              <w:pStyle w:val="TableContents"/>
              <w:bidi w:val="0"/>
              <w:spacing w:before="0" w:after="283"/>
              <w:jc w:val="right"/>
              <w:rPr/>
            </w:pPr>
            <w:r>
              <w:rPr/>
              <w:t>25</w:t>
            </w:r>
          </w:p>
        </w:tc>
        <w:tc>
          <w:tcPr>
            <w:tcW w:w="234"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left"/>
              <w:rPr/>
            </w:pPr>
            <w:r>
              <w:rPr/>
              <w:t>Other comprehensive income, net of tax:</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pPr>
            <w:r>
              <w:rPr/>
              <w:t>Currency translation gain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b/>
              </w:rPr>
            </w:pPr>
            <w:r>
              <w:rPr>
                <w:b/>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(19</w:t>
            </w:r>
          </w:p>
        </w:tc>
        <w:tc>
          <w:tcPr>
            <w:tcW w:w="234" w:type="dxa"/>
            <w:tcBorders/>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left"/>
              <w:rPr/>
            </w:pPr>
            <w:r>
              <w:rPr/>
              <w:t>Other comprehensive income (loss)</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26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b/>
              </w:rPr>
            </w:pPr>
            <w:r>
              <w:rPr>
                <w:b/>
              </w:rPr>
              <w:t>50</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(37</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26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b/>
              </w:rPr>
            </w:pPr>
            <w:r>
              <w:rPr>
                <w:b/>
              </w:rPr>
              <w:t>4</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(19</w:t>
            </w:r>
          </w:p>
        </w:tc>
        <w:tc>
          <w:tcPr>
            <w:tcW w:w="234"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3436" w:type="dxa"/>
            <w:tcBorders/>
            <w:vAlign w:val="center"/>
          </w:tcPr>
          <w:p>
            <w:pPr>
              <w:pStyle w:val="TableContents"/>
              <w:bidi w:val="0"/>
              <w:spacing w:before="0" w:after="283"/>
              <w:jc w:val="left"/>
              <w:rPr/>
            </w:pPr>
            <w:r>
              <w:rPr/>
              <w:t>Comprehensive income (loss)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tcMar>
              <w:bottom w:w="28" w:type="dxa"/>
            </w:tcMar>
            <w:vAlign w:val="center"/>
          </w:tcPr>
          <w:p>
            <w:pPr>
              <w:pStyle w:val="TableContents"/>
              <w:bidi w:val="0"/>
              <w:spacing w:before="0" w:after="283"/>
              <w:jc w:val="right"/>
              <w:rPr>
                <w:b/>
              </w:rPr>
            </w:pPr>
            <w:r>
              <w:rPr>
                <w:b/>
              </w:rPr>
              <w:t>32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(18</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65" w:type="dxa"/>
            <w:tcBorders>
              <w:bottom w:val="double" w:sz="6" w:space="0" w:color="000000"/>
            </w:tcBorders>
            <w:tcMar>
              <w:bottom w:w="28" w:type="dxa"/>
            </w:tcMar>
            <w:vAlign w:val="center"/>
          </w:tcPr>
          <w:p>
            <w:pPr>
              <w:pStyle w:val="TableContents"/>
              <w:bidi w:val="0"/>
              <w:spacing w:before="0" w:after="283"/>
              <w:jc w:val="right"/>
              <w:rPr>
                <w:b/>
              </w:rPr>
            </w:pPr>
            <w:r>
              <w:rPr>
                <w:b/>
              </w:rPr>
              <w:t>(115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05" w:type="dxa"/>
            <w:tcBorders>
              <w:bottom w:val="double" w:sz="6" w:space="0" w:color="000000"/>
            </w:tcBorders>
            <w:tcMar>
              <w:bottom w:w="28" w:type="dxa"/>
            </w:tcMar>
            <w:vAlign w:val="center"/>
          </w:tcPr>
          <w:p>
            <w:pPr>
              <w:pStyle w:val="TableContents"/>
              <w:bidi w:val="0"/>
              <w:spacing w:before="0" w:after="283"/>
              <w:jc w:val="right"/>
              <w:rPr/>
            </w:pPr>
            <w:r>
              <w:rPr/>
              <w:t>6</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14" w:before="0" w:after="0"/>
        <w:jc w:val="center"/>
        <w:rPr/>
      </w:pPr>
      <w:r>
        <w:rPr/>
        <w:t> </w:t>
      </w:r>
    </w:p>
    <w:p>
      <w:pPr>
        <w:pStyle w:val="TextBody"/>
        <w:bidi w:val="0"/>
        <w:spacing w:lineRule="auto" w:line="314" w:before="0" w:after="0"/>
        <w:jc w:val="center"/>
        <w:rPr>
          <w:rFonts w:ascii="Times New Roman" w:hAnsi="Times New Roman"/>
          <w:sz w:val="18"/>
        </w:rPr>
      </w:pPr>
      <w:r>
        <w:rPr>
          <w:rFonts w:ascii="Times New Roman" w:hAnsi="Times New Roman"/>
          <w:i/>
          <w:sz w:val="20"/>
        </w:rPr>
        <w:t>See notes to consolidated and combined financial statements.</w:t>
      </w:r>
      <w:r>
        <w:rPr>
          <w:rFonts w:ascii="Times New Roman" w:hAnsi="Times New Roman"/>
          <w:sz w:val="18"/>
        </w:rPr>
        <w:t xml:space="preserve"> </w:t>
      </w:r>
    </w:p>
    <w:p>
      <w:pPr>
        <w:pStyle w:val="TextBody"/>
        <w:bidi w:val="0"/>
        <w:spacing w:lineRule="auto" w:line="314" w:before="0" w:after="0"/>
        <w:jc w:val="center"/>
        <w:rPr/>
      </w:pPr>
      <w:r>
        <w:rPr/>
        <w:t xml:space="preserve">  </w:t>
      </w:r>
    </w:p>
    <w:p>
      <w:pPr>
        <w:pStyle w:val="TextBody"/>
        <w:bidi w:val="0"/>
        <w:spacing w:lineRule="auto" w:line="314" w:before="0" w:after="0"/>
        <w:jc w:val="center"/>
        <w:rPr/>
      </w:pPr>
      <w:r>
        <w:rPr/>
        <w:t> </w:t>
      </w:r>
      <w:bookmarkStart w:id="5" w:name="Section7"/>
      <w:bookmarkEnd w:id="5"/>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- 2 -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120"/>
        <w:jc w:val="center"/>
        <w:rPr>
          <w:rFonts w:ascii="Times New Roman" w:hAnsi="Times New Roman"/>
          <w:sz w:val="18"/>
        </w:rPr>
      </w:pPr>
      <w:r>
        <w:rPr>
          <w:rFonts w:ascii="Times New Roman" w:hAnsi="Times New Roman"/>
          <w:b/>
          <w:sz w:val="20"/>
        </w:rPr>
        <w:t>Consolidated and Combined Balance Sheets</w:t>
      </w:r>
      <w:r>
        <w:rPr>
          <w:rFonts w:ascii="Times New Roman" w:hAnsi="Times New Roman"/>
          <w:sz w:val="18"/>
        </w:rPr>
        <w:t xml:space="preserve"> </w:t>
      </w:r>
    </w:p>
    <w:p>
      <w:pPr>
        <w:pStyle w:val="TextBody"/>
        <w:bidi w:val="0"/>
        <w:spacing w:before="0" w:after="0"/>
        <w:jc w:val="center"/>
        <w:rPr/>
      </w:pPr>
      <w:r>
        <w:rPr/>
        <w:t xml:space="preserve">  </w:t>
      </w:r>
    </w:p>
    <w:tbl>
      <w:tblPr>
        <w:tblW w:w="8435" w:type="dxa"/>
        <w:jc w:val="left"/>
        <w:tblInd w:w="0" w:type="dxa"/>
        <w:tblLayout w:type="fixed"/>
        <w:tblCellMar>
          <w:top w:w="0" w:type="dxa"/>
          <w:left w:w="0" w:type="dxa"/>
          <w:bottom w:w="0" w:type="dxa"/>
          <w:right w:w="0" w:type="dxa"/>
        </w:tblCellMar>
      </w:tblPr>
      <w:tblGrid>
        <w:gridCol w:w="4100"/>
        <w:gridCol w:w="90"/>
        <w:gridCol w:w="170"/>
        <w:gridCol w:w="1445"/>
        <w:gridCol w:w="185"/>
        <w:gridCol w:w="90"/>
        <w:gridCol w:w="170"/>
        <w:gridCol w:w="1955"/>
        <w:gridCol w:w="230"/>
      </w:tblGrid>
      <w:tr>
        <w:trPr/>
        <w:tc>
          <w:tcPr>
            <w:tcW w:w="41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sz w:val="16"/>
              </w:rPr>
            </w:pPr>
            <w:r>
              <w:rPr>
                <w:sz w:val="16"/>
              </w:rPr>
              <w:t>(in millions of dollars)</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44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b/>
              </w:rPr>
            </w:pPr>
            <w:r>
              <w:rPr>
                <w:b/>
              </w:rPr>
              <w:t>June 28, 2025</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0" w:type="dxa"/>
            <w:tcBorders>
              <w:top w:val="single" w:sz="2" w:space="0" w:color="000000"/>
            </w:tcBorders>
            <w:tcMar>
              <w:top w:w="28" w:type="dxa"/>
            </w:tcMar>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95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center"/>
              <w:rPr/>
            </w:pPr>
            <w:r>
              <w:rPr/>
              <w:t>September 28, 2024</w:t>
            </w:r>
          </w:p>
        </w:tc>
        <w:tc>
          <w:tcPr>
            <w:tcW w:w="23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center"/>
              <w:rPr/>
            </w:pPr>
            <w:r>
              <w:rPr/>
              <w:t>(Unaudited)</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Cash and cash equivalents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276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230</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Accounts receivable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517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359</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Finished goods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156</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Raw materials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208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103</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156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283"/>
              <w:jc w:val="right"/>
              <w:rPr/>
            </w:pPr>
            <w:r>
              <w:rPr/>
              <w:t>38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1,484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886</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Property, plant and equipment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1,473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949</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Goodwill and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937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850</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Right-of-use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65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49</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153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283"/>
              <w:jc w:val="right"/>
              <w:rPr/>
            </w:pPr>
            <w:r>
              <w:rPr/>
              <w:t>73</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4,112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55" w:type="dxa"/>
            <w:tcBorders>
              <w:bottom w:val="double" w:sz="6" w:space="0" w:color="000000"/>
            </w:tcBorders>
            <w:tcMar>
              <w:bottom w:w="28" w:type="dxa"/>
            </w:tcMar>
            <w:vAlign w:val="center"/>
          </w:tcPr>
          <w:p>
            <w:pPr>
              <w:pStyle w:val="TableContents"/>
              <w:bidi w:val="0"/>
              <w:spacing w:before="0" w:after="283"/>
              <w:jc w:val="right"/>
              <w:rPr/>
            </w:pPr>
            <w:r>
              <w:rPr/>
              <w:t>2,807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b/>
              </w:rPr>
            </w:pPr>
            <w:r>
              <w:rPr>
                <w:b/>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393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55" w:type="dxa"/>
            <w:tcBorders/>
            <w:vAlign w:val="center"/>
          </w:tcPr>
          <w:p>
            <w:pPr>
              <w:pStyle w:val="TableContents"/>
              <w:bidi w:val="0"/>
              <w:spacing w:before="0" w:after="283"/>
              <w:jc w:val="right"/>
              <w:rPr/>
            </w:pPr>
            <w:r>
              <w:rPr/>
              <w:t>295</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Accrued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183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162</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Current portion of 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584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283"/>
              <w:jc w:val="right"/>
              <w:rPr/>
            </w:pPr>
            <w:r>
              <w:rPr/>
              <w:t>457</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Long-term debt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right"/>
              <w:rPr>
                <w:b/>
              </w:rPr>
            </w:pPr>
            <w:r>
              <w:rPr>
                <w:b/>
              </w:rPr>
              <w:t>1,991</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Deferred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73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78</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Operating lease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39</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285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94</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2,981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55" w:type="dxa"/>
            <w:tcBorders>
              <w:bottom w:val="single" w:sz="2" w:space="0" w:color="000000"/>
            </w:tcBorders>
            <w:tcMar>
              <w:bottom w:w="28" w:type="dxa"/>
            </w:tcMar>
            <w:vAlign w:val="center"/>
          </w:tcPr>
          <w:p>
            <w:pPr>
              <w:pStyle w:val="TableContents"/>
              <w:bidi w:val="0"/>
              <w:spacing w:before="0" w:after="283"/>
              <w:jc w:val="right"/>
              <w:rPr/>
            </w:pPr>
            <w:r>
              <w:rPr/>
              <w:t>668</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Berry net investment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right"/>
              <w:rPr/>
            </w:pPr>
            <w:r>
              <w:rPr/>
              <w:t>2,307</w:t>
            </w:r>
          </w:p>
        </w:tc>
        <w:tc>
          <w:tcPr>
            <w:tcW w:w="230" w:type="dxa"/>
            <w:tcBorders/>
            <w:vAlign w:val="center"/>
          </w:tcPr>
          <w:p>
            <w:pPr>
              <w:pStyle w:val="TableContents"/>
              <w:bidi w:val="0"/>
              <w:spacing w:before="0" w:after="283"/>
              <w:jc w:val="left"/>
              <w:rPr>
                <w:sz w:val="4"/>
                <w:szCs w:val="4"/>
              </w:rPr>
            </w:pPr>
            <w:r>
              <w:rPr>
                <w:sz w:val="4"/>
                <w:szCs w:val="4"/>
              </w:rPr>
            </w:r>
          </w:p>
        </w:tc>
      </w:tr>
      <w:tr>
        <w:trPr/>
        <w:tc>
          <w:tcPr>
            <w:tcW w:w="4100" w:type="dxa"/>
            <w:tcBorders/>
            <w:vAlign w:val="center"/>
          </w:tcPr>
          <w:p>
            <w:pPr>
              <w:pStyle w:val="TableContents"/>
              <w:bidi w:val="0"/>
              <w:spacing w:before="0" w:after="283"/>
              <w:jc w:val="left"/>
              <w:rPr/>
            </w:pPr>
            <w:r>
              <w:rPr/>
              <w:t>Additional paid-in capital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1,414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Retained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Accumulated other comprehensive loss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(164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right"/>
              <w:rPr/>
            </w:pPr>
            <w:r>
              <w:rPr/>
              <w:t>(168</w:t>
            </w:r>
          </w:p>
        </w:tc>
        <w:tc>
          <w:tcPr>
            <w:tcW w:w="230" w:type="dxa"/>
            <w:tcBorders/>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44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b/>
              </w:rPr>
            </w:pPr>
            <w:r>
              <w:rPr>
                <w:b/>
              </w:rPr>
              <w:t>1,131</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95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2,139</w:t>
            </w:r>
          </w:p>
        </w:tc>
        <w:tc>
          <w:tcPr>
            <w:tcW w:w="23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4100" w:type="dxa"/>
            <w:tcBorders/>
            <w:vAlign w:val="center"/>
          </w:tcPr>
          <w:p>
            <w:pPr>
              <w:pStyle w:val="TableContents"/>
              <w:bidi w:val="0"/>
              <w:spacing w:before="0" w:after="283"/>
              <w:jc w:val="left"/>
              <w:rPr>
                <w:b/>
              </w:rPr>
            </w:pPr>
            <w:r>
              <w:rPr>
                <w:b/>
              </w:rPr>
              <w:t>Total liabilities and stockholders’ equity</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4,112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55" w:type="dxa"/>
            <w:tcBorders>
              <w:bottom w:val="double" w:sz="6" w:space="0" w:color="000000"/>
            </w:tcBorders>
            <w:tcMar>
              <w:bottom w:w="28" w:type="dxa"/>
            </w:tcMar>
            <w:vAlign w:val="center"/>
          </w:tcPr>
          <w:p>
            <w:pPr>
              <w:pStyle w:val="TableContents"/>
              <w:bidi w:val="0"/>
              <w:spacing w:before="0" w:after="283"/>
              <w:jc w:val="right"/>
              <w:rPr/>
            </w:pPr>
            <w:r>
              <w:rPr/>
              <w:t>2,807</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18"/>
        </w:rPr>
      </w:pPr>
      <w:r>
        <w:rPr>
          <w:rFonts w:ascii="Times New Roman" w:hAnsi="Times New Roman"/>
          <w:i/>
          <w:sz w:val="20"/>
        </w:rPr>
        <w:t>See notes to consolidated and combined financial statements.</w:t>
      </w:r>
      <w:r>
        <w:rPr>
          <w:rFonts w:ascii="Times New Roman" w:hAnsi="Times New Roman"/>
          <w:sz w:val="18"/>
        </w:rPr>
        <w:t xml:space="preserve">  </w:t>
      </w:r>
    </w:p>
    <w:p>
      <w:pPr>
        <w:pStyle w:val="TextBody"/>
        <w:bidi w:val="0"/>
        <w:spacing w:before="0" w:after="0"/>
        <w:jc w:val="center"/>
        <w:rPr/>
      </w:pPr>
      <w:r>
        <w:rPr/>
        <w:t xml:space="preserve">  </w:t>
      </w:r>
    </w:p>
    <w:p>
      <w:pPr>
        <w:pStyle w:val="TextBody"/>
        <w:bidi w:val="0"/>
        <w:spacing w:lineRule="auto" w:line="324" w:before="240" w:after="283"/>
        <w:jc w:val="center"/>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- 3 -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center"/>
        <w:rPr>
          <w:rFonts w:ascii="Times New Roman" w:hAnsi="Times New Roman"/>
          <w:sz w:val="18"/>
        </w:rPr>
      </w:pPr>
      <w:bookmarkStart w:id="6" w:name="Section8"/>
      <w:bookmarkEnd w:id="6"/>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r>
        <w:rPr>
          <w:rFonts w:ascii="Times New Roman" w:hAnsi="Times New Roman"/>
          <w:b/>
          <w:sz w:val="20"/>
        </w:rPr>
        <w:t>Consolidated and Combined Statements of Cash Flows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before="0" w:after="0"/>
        <w:jc w:val="center"/>
        <w:rPr/>
      </w:pPr>
      <w:r>
        <w:rPr/>
        <w:t> </w:t>
      </w:r>
    </w:p>
    <w:tbl>
      <w:tblPr>
        <w:tblW w:w="9305" w:type="dxa"/>
        <w:jc w:val="left"/>
        <w:tblInd w:w="0" w:type="dxa"/>
        <w:tblLayout w:type="fixed"/>
        <w:tblCellMar>
          <w:top w:w="0" w:type="dxa"/>
          <w:left w:w="0" w:type="dxa"/>
          <w:bottom w:w="0" w:type="dxa"/>
          <w:right w:w="0" w:type="dxa"/>
        </w:tblCellMar>
      </w:tblPr>
      <w:tblGrid>
        <w:gridCol w:w="5630"/>
        <w:gridCol w:w="170"/>
        <w:gridCol w:w="1445"/>
        <w:gridCol w:w="185"/>
        <w:gridCol w:w="90"/>
        <w:gridCol w:w="170"/>
        <w:gridCol w:w="1385"/>
        <w:gridCol w:w="230"/>
      </w:tblGrid>
      <w:tr>
        <w:trPr/>
        <w:tc>
          <w:tcPr>
            <w:tcW w:w="56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 </w:t>
            </w:r>
          </w:p>
        </w:tc>
        <w:tc>
          <w:tcPr>
            <w:tcW w:w="367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5630" w:type="dxa"/>
            <w:tcBorders/>
            <w:vAlign w:val="center"/>
          </w:tcPr>
          <w:p>
            <w:pPr>
              <w:pStyle w:val="TableContents"/>
              <w:bidi w:val="0"/>
              <w:spacing w:before="0" w:after="283"/>
              <w:jc w:val="left"/>
              <w:rPr>
                <w:sz w:val="16"/>
              </w:rPr>
            </w:pPr>
            <w:r>
              <w:rPr>
                <w:sz w:val="16"/>
              </w:rPr>
              <w:t>(in millions of dollars)</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b/>
              </w:rPr>
            </w:pPr>
            <w:r>
              <w:rPr>
                <w:b/>
              </w:rPr>
              <w:t>Cash Flows from 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Net income (loss)</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(119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25</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Adjustments to reconcile net cash from operating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Depreciation</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94</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Amortization of intangibles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36</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Non-cash interest expense</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4</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Deferred income tax</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(9</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Share-based compensation expense</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6</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Other non-cash operating activities, net</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2</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Changes in working capital, net</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(125</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Change in other assets and liabilities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operating activities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31</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b/>
              </w:rPr>
            </w:pPr>
            <w:r>
              <w:rPr>
                <w:b/>
              </w:rPr>
              <w:t>Cash Flows from Investing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Additions to property, plant and equipment, net</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(56</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acquired from GLT acquisition</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Settlement of net investment hedges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22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Other investing activities and other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29</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(used in) investing activities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(27</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b/>
              </w:rPr>
            </w:pPr>
            <w:r>
              <w:rPr>
                <w:b/>
              </w:rPr>
              <w:t>Cash Flows from Financing Activities:</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630" w:type="dxa"/>
            <w:tcBorders/>
            <w:vAlign w:val="center"/>
          </w:tcPr>
          <w:p>
            <w:pPr>
              <w:pStyle w:val="TableContents"/>
              <w:bidi w:val="0"/>
              <w:spacing w:before="0" w:after="283"/>
              <w:jc w:val="left"/>
              <w:rPr/>
            </w:pPr>
            <w:r>
              <w:rPr/>
              <w:t>Proceeds from long-term borrowings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1,556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Repayments on long-term borrowings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Transfers from (to) Berry, net</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(8</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distribution to Berry</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(1,111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Debt fees and other, net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(17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cash from (used in) financing activities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28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(11</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Effect of currency translation on cash</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Net change in cash and cash equivalents</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(9</w:t>
            </w:r>
          </w:p>
        </w:tc>
        <w:tc>
          <w:tcPr>
            <w:tcW w:w="230" w:type="dxa"/>
            <w:tcBorders/>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and cash equivalents at beginning of period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230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185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30" w:type="dxa"/>
            <w:tcBorders/>
            <w:vAlign w:val="center"/>
          </w:tcPr>
          <w:p>
            <w:pPr>
              <w:pStyle w:val="TableContents"/>
              <w:bidi w:val="0"/>
              <w:spacing w:before="0" w:after="283"/>
              <w:jc w:val="left"/>
              <w:rPr/>
            </w:pPr>
            <w:r>
              <w:rPr/>
              <w:t>Cash and cash equivalents at the end of period</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276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176</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18"/>
        </w:rPr>
      </w:pPr>
      <w:r>
        <w:rPr>
          <w:rFonts w:ascii="Times New Roman" w:hAnsi="Times New Roman"/>
          <w:i/>
          <w:sz w:val="20"/>
        </w:rPr>
        <w:t>See notes to consolidated and combined financial statements.</w:t>
      </w:r>
      <w:r>
        <w:rPr>
          <w:rFonts w:ascii="Times New Roman" w:hAnsi="Times New Roman"/>
          <w:sz w:val="18"/>
        </w:rPr>
        <w:t xml:space="preserve">  </w:t>
      </w:r>
    </w:p>
    <w:p>
      <w:pPr>
        <w:pStyle w:val="TextBody"/>
        <w:bidi w:val="0"/>
        <w:spacing w:before="0" w:after="0"/>
        <w:jc w:val="center"/>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- 4 -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center"/>
        <w:rPr>
          <w:rFonts w:ascii="Times New Roman" w:hAnsi="Times New Roman"/>
          <w:sz w:val="18"/>
        </w:rPr>
      </w:pPr>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36" w:before="0" w:after="0"/>
        <w:jc w:val="center"/>
        <w:rPr>
          <w:rFonts w:ascii="Times New Roman" w:hAnsi="Times New Roman"/>
          <w:sz w:val="18"/>
        </w:rPr>
      </w:pPr>
      <w:bookmarkStart w:id="7" w:name="Section9"/>
      <w:bookmarkEnd w:id="7"/>
      <w:r>
        <w:rPr>
          <w:rFonts w:ascii="Times New Roman" w:hAnsi="Times New Roman"/>
          <w:b/>
          <w:sz w:val="20"/>
        </w:rPr>
        <w:t>Consolidated and Combined Statements of Changes in Stockholders’ Equity</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left"/>
        <w:rPr/>
      </w:pPr>
      <w:r>
        <w:rPr/>
        <w:t> </w:t>
      </w:r>
    </w:p>
    <w:p>
      <w:pPr>
        <w:pStyle w:val="TextBody"/>
        <w:bidi w:val="0"/>
        <w:spacing w:lineRule="auto" w:line="324" w:before="0" w:after="0"/>
        <w:jc w:val="left"/>
        <w:rPr>
          <w:rFonts w:ascii="Times New Roman" w:hAnsi="Times New Roman"/>
          <w:sz w:val="16"/>
        </w:rPr>
      </w:pPr>
      <w:r>
        <w:rPr>
          <w:rFonts w:ascii="Times New Roman" w:hAnsi="Times New Roman"/>
          <w:sz w:val="16"/>
        </w:rPr>
        <w:t>(in millions of dollars)</w:t>
      </w:r>
    </w:p>
    <w:tbl>
      <w:tblPr>
        <w:tblW w:w="10205" w:type="dxa"/>
        <w:jc w:val="left"/>
        <w:tblInd w:w="0" w:type="dxa"/>
        <w:tblLayout w:type="fixed"/>
        <w:tblCellMar>
          <w:top w:w="0" w:type="dxa"/>
          <w:left w:w="0" w:type="dxa"/>
          <w:bottom w:w="0" w:type="dxa"/>
          <w:right w:w="0" w:type="dxa"/>
        </w:tblCellMar>
      </w:tblPr>
      <w:tblGrid>
        <w:gridCol w:w="1600"/>
        <w:gridCol w:w="170"/>
        <w:gridCol w:w="1237"/>
        <w:gridCol w:w="185"/>
        <w:gridCol w:w="170"/>
        <w:gridCol w:w="1222"/>
        <w:gridCol w:w="90"/>
        <w:gridCol w:w="170"/>
        <w:gridCol w:w="1902"/>
        <w:gridCol w:w="185"/>
        <w:gridCol w:w="170"/>
        <w:gridCol w:w="995"/>
        <w:gridCol w:w="185"/>
        <w:gridCol w:w="170"/>
        <w:gridCol w:w="1522"/>
        <w:gridCol w:w="232"/>
      </w:tblGrid>
      <w:tr>
        <w:trPr/>
        <w:tc>
          <w:tcPr>
            <w:tcW w:w="1600" w:type="dxa"/>
            <w:tcBorders/>
            <w:vAlign w:val="center"/>
          </w:tcPr>
          <w:p>
            <w:pPr>
              <w:pStyle w:val="TableContents"/>
              <w:bidi w:val="0"/>
              <w:spacing w:before="0" w:after="283"/>
              <w:jc w:val="left"/>
              <w:rPr>
                <w:b/>
              </w:rPr>
            </w:pPr>
            <w:r>
              <w:rPr>
                <w:b/>
              </w:rPr>
              <w:t>Quarterly Period Ended</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7" w:type="dxa"/>
            <w:tcBorders>
              <w:bottom w:val="single" w:sz="2" w:space="0" w:color="000000"/>
            </w:tcBorders>
            <w:tcMar>
              <w:bottom w:w="28" w:type="dxa"/>
            </w:tcMar>
            <w:vAlign w:val="center"/>
          </w:tcPr>
          <w:p>
            <w:pPr>
              <w:pStyle w:val="TableContents"/>
              <w:bidi w:val="0"/>
              <w:spacing w:before="0" w:after="283"/>
              <w:jc w:val="center"/>
              <w:rPr>
                <w:b/>
              </w:rPr>
            </w:pPr>
            <w:r>
              <w:rPr>
                <w:b/>
              </w:rPr>
              <w:t>Berry Net Investment</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2" w:type="dxa"/>
            <w:tcBorders>
              <w:bottom w:val="single" w:sz="2" w:space="0" w:color="000000"/>
            </w:tcBorders>
            <w:tcMar>
              <w:bottom w:w="28" w:type="dxa"/>
            </w:tcMar>
            <w:vAlign w:val="center"/>
          </w:tcPr>
          <w:p>
            <w:pPr>
              <w:pStyle w:val="TableContents"/>
              <w:bidi w:val="0"/>
              <w:spacing w:before="0" w:after="283"/>
              <w:jc w:val="center"/>
              <w:rPr>
                <w:b/>
              </w:rPr>
            </w:pPr>
            <w:r>
              <w:rPr>
                <w:b/>
              </w:rPr>
              <w:t>Additional Paid-in Capital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902" w:type="dxa"/>
            <w:tcBorders>
              <w:bottom w:val="single" w:sz="2" w:space="0" w:color="000000"/>
            </w:tcBorders>
            <w:tcMar>
              <w:bottom w:w="28" w:type="dxa"/>
            </w:tcMar>
            <w:vAlign w:val="center"/>
          </w:tcPr>
          <w:p>
            <w:pPr>
              <w:pStyle w:val="TableContents"/>
              <w:bidi w:val="0"/>
              <w:spacing w:before="0" w:after="283"/>
              <w:jc w:val="center"/>
              <w:rPr>
                <w:b/>
              </w:rPr>
            </w:pPr>
            <w:r>
              <w:rPr>
                <w:b/>
              </w:rPr>
              <w:t>Other Comprehensive Income (Loss) - Currency Translation</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5" w:type="dxa"/>
            <w:tcBorders>
              <w:bottom w:val="single" w:sz="2" w:space="0" w:color="000000"/>
            </w:tcBorders>
            <w:tcMar>
              <w:bottom w:w="28" w:type="dxa"/>
            </w:tcMar>
            <w:vAlign w:val="center"/>
          </w:tcPr>
          <w:p>
            <w:pPr>
              <w:pStyle w:val="TableContents"/>
              <w:bidi w:val="0"/>
              <w:spacing w:before="0" w:after="283"/>
              <w:jc w:val="center"/>
              <w:rPr>
                <w:b/>
              </w:rPr>
            </w:pPr>
            <w:r>
              <w:rPr>
                <w:b/>
              </w:rPr>
              <w:t>Retained Loss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2" w:type="dxa"/>
            <w:tcBorders>
              <w:bottom w:val="single" w:sz="2" w:space="0" w:color="000000"/>
            </w:tcBorders>
            <w:tcMar>
              <w:bottom w:w="28" w:type="dxa"/>
            </w:tcMar>
            <w:vAlign w:val="center"/>
          </w:tcPr>
          <w:p>
            <w:pPr>
              <w:pStyle w:val="TableContents"/>
              <w:bidi w:val="0"/>
              <w:spacing w:before="0" w:after="283"/>
              <w:jc w:val="center"/>
              <w:rPr>
                <w:b/>
              </w:rPr>
            </w:pPr>
            <w:r>
              <w:rPr>
                <w:b/>
              </w:rPr>
              <w:t>Total Stockholders’ Equity</w:t>
            </w:r>
          </w:p>
        </w:tc>
        <w:tc>
          <w:tcPr>
            <w:tcW w:w="23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00" w:type="dxa"/>
            <w:tcBorders/>
            <w:vAlign w:val="center"/>
          </w:tcPr>
          <w:p>
            <w:pPr>
              <w:pStyle w:val="TableContents"/>
              <w:bidi w:val="0"/>
              <w:spacing w:before="0" w:after="283"/>
              <w:jc w:val="left"/>
              <w:rPr/>
            </w:pPr>
            <w:r>
              <w:rPr/>
              <w:t>Balance at March 29, 2025</w:t>
            </w:r>
          </w:p>
        </w:tc>
        <w:tc>
          <w:tcPr>
            <w:tcW w:w="170" w:type="dxa"/>
            <w:tcBorders/>
            <w:vAlign w:val="center"/>
          </w:tcPr>
          <w:p>
            <w:pPr>
              <w:pStyle w:val="TableContents"/>
              <w:bidi w:val="0"/>
              <w:spacing w:before="0" w:after="283"/>
              <w:jc w:val="left"/>
              <w:rPr>
                <w:b/>
              </w:rPr>
            </w:pPr>
            <w:r>
              <w:rPr>
                <w:b/>
              </w:rPr>
              <w:t>$</w:t>
            </w:r>
          </w:p>
        </w:tc>
        <w:tc>
          <w:tcPr>
            <w:tcW w:w="123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222" w:type="dxa"/>
            <w:tcBorders/>
            <w:vAlign w:val="center"/>
          </w:tcPr>
          <w:p>
            <w:pPr>
              <w:pStyle w:val="TableContents"/>
              <w:bidi w:val="0"/>
              <w:spacing w:before="0" w:after="283"/>
              <w:jc w:val="right"/>
              <w:rPr>
                <w:b/>
              </w:rPr>
            </w:pPr>
            <w:r>
              <w:rPr>
                <w:b/>
              </w:rPr>
              <w:t>1,408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902" w:type="dxa"/>
            <w:tcBorders/>
            <w:vAlign w:val="center"/>
          </w:tcPr>
          <w:p>
            <w:pPr>
              <w:pStyle w:val="TableContents"/>
              <w:bidi w:val="0"/>
              <w:spacing w:before="0" w:after="283"/>
              <w:jc w:val="right"/>
              <w:rPr>
                <w:b/>
              </w:rPr>
            </w:pPr>
            <w:r>
              <w:rPr>
                <w:b/>
              </w:rPr>
              <w:t>(214</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b/>
              </w:rPr>
            </w:pPr>
            <w:r>
              <w:rPr>
                <w:b/>
              </w:rPr>
              <w:t>$</w:t>
            </w:r>
          </w:p>
        </w:tc>
        <w:tc>
          <w:tcPr>
            <w:tcW w:w="995" w:type="dxa"/>
            <w:tcBorders/>
            <w:vAlign w:val="center"/>
          </w:tcPr>
          <w:p>
            <w:pPr>
              <w:pStyle w:val="TableContents"/>
              <w:bidi w:val="0"/>
              <w:spacing w:before="0" w:after="283"/>
              <w:jc w:val="right"/>
              <w:rPr>
                <w:b/>
              </w:rPr>
            </w:pPr>
            <w:r>
              <w:rPr>
                <w:b/>
              </w:rPr>
              <w:t>(101</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b/>
              </w:rPr>
            </w:pPr>
            <w:r>
              <w:rPr>
                <w:b/>
              </w:rPr>
              <w:t>$</w:t>
            </w:r>
          </w:p>
        </w:tc>
        <w:tc>
          <w:tcPr>
            <w:tcW w:w="1522" w:type="dxa"/>
            <w:tcBorders/>
            <w:vAlign w:val="center"/>
          </w:tcPr>
          <w:p>
            <w:pPr>
              <w:pStyle w:val="TableContents"/>
              <w:bidi w:val="0"/>
              <w:spacing w:before="0" w:after="283"/>
              <w:jc w:val="right"/>
              <w:rPr>
                <w:b/>
              </w:rPr>
            </w:pPr>
            <w:r>
              <w:rPr>
                <w:b/>
              </w:rPr>
              <w:t>1,093</w:t>
            </w:r>
          </w:p>
        </w:tc>
        <w:tc>
          <w:tcPr>
            <w:tcW w:w="232" w:type="dxa"/>
            <w:tcBorders/>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Net loss</w:t>
            </w:r>
          </w:p>
        </w:tc>
        <w:tc>
          <w:tcPr>
            <w:tcW w:w="17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b/>
              </w:rPr>
            </w:pPr>
            <w:r>
              <w:rPr>
                <w:b/>
              </w:rPr>
              <w:t>(18</w:t>
            </w:r>
          </w:p>
        </w:tc>
        <w:tc>
          <w:tcPr>
            <w:tcW w:w="232" w:type="dxa"/>
            <w:tcBorders/>
            <w:vAlign w:val="center"/>
          </w:tcPr>
          <w:p>
            <w:pPr>
              <w:pStyle w:val="TableContents"/>
              <w:bidi w:val="0"/>
              <w:spacing w:before="0" w:after="283"/>
              <w:jc w:val="left"/>
              <w:rPr>
                <w:b/>
              </w:rPr>
            </w:pPr>
            <w:r>
              <w:rPr>
                <w:b/>
              </w:rPr>
              <w:t>) </w:t>
            </w:r>
          </w:p>
        </w:tc>
      </w:tr>
      <w:tr>
        <w:trPr/>
        <w:tc>
          <w:tcPr>
            <w:tcW w:w="1600" w:type="dxa"/>
            <w:tcBorders/>
            <w:vAlign w:val="center"/>
          </w:tcPr>
          <w:p>
            <w:pPr>
              <w:pStyle w:val="TableContents"/>
              <w:bidi w:val="0"/>
              <w:spacing w:before="0" w:after="283"/>
              <w:jc w:val="left"/>
              <w:rPr/>
            </w:pPr>
            <w:r>
              <w:rPr/>
              <w:t>Other comprehensive income (loss)</w:t>
            </w:r>
          </w:p>
        </w:tc>
        <w:tc>
          <w:tcPr>
            <w:tcW w:w="17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b/>
              </w:rPr>
            </w:pPr>
            <w:r>
              <w:rPr>
                <w:b/>
              </w:rPr>
              <w:t>50</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b/>
              </w:rPr>
            </w:pPr>
            <w:r>
              <w:rPr>
                <w:b/>
              </w:rPr>
              <w:t>50</w:t>
            </w:r>
          </w:p>
        </w:tc>
        <w:tc>
          <w:tcPr>
            <w:tcW w:w="232" w:type="dxa"/>
            <w:tcBorders/>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Share-based compensation</w:t>
            </w:r>
          </w:p>
        </w:tc>
        <w:tc>
          <w:tcPr>
            <w:tcW w:w="17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b/>
              </w:rPr>
            </w:pPr>
            <w:r>
              <w:rPr>
                <w:b/>
              </w:rPr>
              <w:t>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b/>
              </w:rPr>
            </w:pPr>
            <w:r>
              <w:rPr>
                <w:b/>
              </w:rPr>
              <w:t>5</w:t>
            </w:r>
          </w:p>
        </w:tc>
        <w:tc>
          <w:tcPr>
            <w:tcW w:w="232" w:type="dxa"/>
            <w:tcBorders/>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Other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02"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22"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b/>
              </w:rPr>
            </w:pPr>
            <w:r>
              <w:rPr>
                <w:b/>
              </w:rPr>
              <w:t>Balance at June 28, 2025</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37"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22" w:type="dxa"/>
            <w:tcBorders>
              <w:bottom w:val="double" w:sz="6" w:space="0" w:color="000000"/>
            </w:tcBorders>
            <w:tcMar>
              <w:bottom w:w="28" w:type="dxa"/>
            </w:tcMar>
            <w:vAlign w:val="center"/>
          </w:tcPr>
          <w:p>
            <w:pPr>
              <w:pStyle w:val="TableContents"/>
              <w:bidi w:val="0"/>
              <w:spacing w:before="0" w:after="283"/>
              <w:jc w:val="right"/>
              <w:rPr>
                <w:b/>
              </w:rPr>
            </w:pPr>
            <w:r>
              <w:rPr>
                <w:b/>
              </w:rPr>
              <w:t>1,414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902" w:type="dxa"/>
            <w:tcBorders>
              <w:bottom w:val="double" w:sz="6" w:space="0" w:color="000000"/>
            </w:tcBorders>
            <w:tcMar>
              <w:bottom w:w="28" w:type="dxa"/>
            </w:tcMar>
            <w:vAlign w:val="center"/>
          </w:tcPr>
          <w:p>
            <w:pPr>
              <w:pStyle w:val="TableContents"/>
              <w:bidi w:val="0"/>
              <w:spacing w:before="0" w:after="283"/>
              <w:jc w:val="right"/>
              <w:rPr>
                <w:b/>
              </w:rPr>
            </w:pPr>
            <w:r>
              <w:rPr>
                <w:b/>
              </w:rPr>
              <w:t>(164</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5" w:type="dxa"/>
            <w:tcBorders>
              <w:bottom w:val="double" w:sz="6" w:space="0" w:color="000000"/>
            </w:tcBorders>
            <w:tcMar>
              <w:bottom w:w="28" w:type="dxa"/>
            </w:tcMar>
            <w:vAlign w:val="center"/>
          </w:tcPr>
          <w:p>
            <w:pPr>
              <w:pStyle w:val="TableContents"/>
              <w:bidi w:val="0"/>
              <w:spacing w:before="0" w:after="283"/>
              <w:jc w:val="right"/>
              <w:rPr>
                <w:b/>
              </w:rPr>
            </w:pPr>
            <w:r>
              <w:rPr>
                <w:b/>
              </w:rPr>
              <w:t>(119</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522" w:type="dxa"/>
            <w:tcBorders>
              <w:bottom w:val="double" w:sz="6" w:space="0" w:color="000000"/>
            </w:tcBorders>
            <w:tcMar>
              <w:bottom w:w="28" w:type="dxa"/>
            </w:tcMar>
            <w:vAlign w:val="center"/>
          </w:tcPr>
          <w:p>
            <w:pPr>
              <w:pStyle w:val="TableContents"/>
              <w:bidi w:val="0"/>
              <w:spacing w:before="0" w:after="283"/>
              <w:jc w:val="right"/>
              <w:rPr>
                <w:b/>
              </w:rPr>
            </w:pPr>
            <w:r>
              <w:rPr>
                <w:b/>
              </w:rPr>
              <w:t>1,131</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1600" w:type="dxa"/>
            <w:tcBorders/>
            <w:vAlign w:val="center"/>
          </w:tcPr>
          <w:p>
            <w:pPr>
              <w:pStyle w:val="TableContents"/>
              <w:bidi w:val="0"/>
              <w:spacing w:before="0" w:after="283"/>
              <w:jc w:val="left"/>
              <w:rPr/>
            </w:pPr>
            <w:r>
              <w:rPr/>
              <w:t>Balance at March 30, 2024</w:t>
            </w:r>
          </w:p>
        </w:tc>
        <w:tc>
          <w:tcPr>
            <w:tcW w:w="17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2,583</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(153</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2,430</w:t>
            </w:r>
          </w:p>
        </w:tc>
        <w:tc>
          <w:tcPr>
            <w:tcW w:w="232" w:type="dxa"/>
            <w:tcBorders/>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Net income</w:t>
            </w:r>
          </w:p>
        </w:tc>
        <w:tc>
          <w:tcPr>
            <w:tcW w:w="17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19</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19</w:t>
            </w:r>
          </w:p>
        </w:tc>
        <w:tc>
          <w:tcPr>
            <w:tcW w:w="232" w:type="dxa"/>
            <w:tcBorders/>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Other comprehensive income (loss)</w:t>
            </w:r>
          </w:p>
        </w:tc>
        <w:tc>
          <w:tcPr>
            <w:tcW w:w="170"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02" w:type="dxa"/>
            <w:tcBorders/>
            <w:vAlign w:val="center"/>
          </w:tcPr>
          <w:p>
            <w:pPr>
              <w:pStyle w:val="TableContents"/>
              <w:bidi w:val="0"/>
              <w:spacing w:before="0" w:after="283"/>
              <w:jc w:val="right"/>
              <w:rPr/>
            </w:pPr>
            <w:r>
              <w:rPr/>
              <w:t>(37</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(37</w:t>
            </w:r>
          </w:p>
        </w:tc>
        <w:tc>
          <w:tcPr>
            <w:tcW w:w="232" w:type="dxa"/>
            <w:tcBorders/>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Transfers from parent, net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37" w:type="dxa"/>
            <w:tcBorders>
              <w:bottom w:val="single" w:sz="2" w:space="0" w:color="000000"/>
            </w:tcBorders>
            <w:tcMar>
              <w:bottom w:w="28" w:type="dxa"/>
            </w:tcMar>
            <w:vAlign w:val="center"/>
          </w:tcPr>
          <w:p>
            <w:pPr>
              <w:pStyle w:val="TableContents"/>
              <w:bidi w:val="0"/>
              <w:spacing w:before="0" w:after="283"/>
              <w:jc w:val="right"/>
              <w:rPr/>
            </w:pPr>
            <w:r>
              <w:rPr/>
              <w:t>(18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2"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02"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22" w:type="dxa"/>
            <w:tcBorders>
              <w:bottom w:val="single" w:sz="2" w:space="0" w:color="000000"/>
            </w:tcBorders>
            <w:tcMar>
              <w:bottom w:w="28" w:type="dxa"/>
            </w:tcMar>
            <w:vAlign w:val="center"/>
          </w:tcPr>
          <w:p>
            <w:pPr>
              <w:pStyle w:val="TableContents"/>
              <w:bidi w:val="0"/>
              <w:spacing w:before="0" w:after="283"/>
              <w:jc w:val="right"/>
              <w:rPr/>
            </w:pPr>
            <w:r>
              <w:rPr/>
              <w:t>(18</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00" w:type="dxa"/>
            <w:tcBorders/>
            <w:vAlign w:val="center"/>
          </w:tcPr>
          <w:p>
            <w:pPr>
              <w:pStyle w:val="TableContents"/>
              <w:bidi w:val="0"/>
              <w:spacing w:before="0" w:after="283"/>
              <w:jc w:val="left"/>
              <w:rPr/>
            </w:pPr>
            <w:r>
              <w:rPr/>
              <w:t>Balance at June 29, 2024</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37" w:type="dxa"/>
            <w:tcBorders>
              <w:bottom w:val="double" w:sz="6" w:space="0" w:color="000000"/>
            </w:tcBorders>
            <w:tcMar>
              <w:bottom w:w="28" w:type="dxa"/>
            </w:tcMar>
            <w:vAlign w:val="center"/>
          </w:tcPr>
          <w:p>
            <w:pPr>
              <w:pStyle w:val="TableContents"/>
              <w:bidi w:val="0"/>
              <w:spacing w:before="0" w:after="283"/>
              <w:jc w:val="right"/>
              <w:rPr/>
            </w:pPr>
            <w:r>
              <w:rPr/>
              <w:t>2,584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2"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02" w:type="dxa"/>
            <w:tcBorders>
              <w:bottom w:val="double" w:sz="6" w:space="0" w:color="000000"/>
            </w:tcBorders>
            <w:tcMar>
              <w:bottom w:w="28" w:type="dxa"/>
            </w:tcMar>
            <w:vAlign w:val="center"/>
          </w:tcPr>
          <w:p>
            <w:pPr>
              <w:pStyle w:val="TableContents"/>
              <w:bidi w:val="0"/>
              <w:spacing w:before="0" w:after="283"/>
              <w:jc w:val="right"/>
              <w:rPr/>
            </w:pPr>
            <w:r>
              <w:rPr/>
              <w:t>(190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5"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22" w:type="dxa"/>
            <w:tcBorders>
              <w:bottom w:val="double" w:sz="6" w:space="0" w:color="000000"/>
            </w:tcBorders>
            <w:tcMar>
              <w:bottom w:w="28" w:type="dxa"/>
            </w:tcMar>
            <w:vAlign w:val="center"/>
          </w:tcPr>
          <w:p>
            <w:pPr>
              <w:pStyle w:val="TableContents"/>
              <w:bidi w:val="0"/>
              <w:spacing w:before="0" w:after="283"/>
              <w:jc w:val="right"/>
              <w:rPr/>
            </w:pPr>
            <w:r>
              <w:rPr/>
              <w:t>2,394</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center"/>
        <w:rPr/>
      </w:pPr>
      <w:r>
        <w:rPr/>
        <w:t> </w:t>
      </w:r>
    </w:p>
    <w:p>
      <w:pPr>
        <w:pStyle w:val="TextBody"/>
        <w:bidi w:val="0"/>
        <w:spacing w:lineRule="auto" w:line="324" w:before="0" w:after="0"/>
        <w:jc w:val="center"/>
        <w:rPr/>
      </w:pPr>
      <w:r>
        <w:rPr/>
        <w:t> </w:t>
      </w:r>
    </w:p>
    <w:tbl>
      <w:tblPr>
        <w:tblW w:w="10205" w:type="dxa"/>
        <w:jc w:val="left"/>
        <w:tblInd w:w="0" w:type="dxa"/>
        <w:tblLayout w:type="fixed"/>
        <w:tblCellMar>
          <w:top w:w="0" w:type="dxa"/>
          <w:left w:w="0" w:type="dxa"/>
          <w:bottom w:w="0" w:type="dxa"/>
          <w:right w:w="0" w:type="dxa"/>
        </w:tblCellMar>
      </w:tblPr>
      <w:tblGrid>
        <w:gridCol w:w="1610"/>
        <w:gridCol w:w="170"/>
        <w:gridCol w:w="1235"/>
        <w:gridCol w:w="185"/>
        <w:gridCol w:w="170"/>
        <w:gridCol w:w="1220"/>
        <w:gridCol w:w="90"/>
        <w:gridCol w:w="170"/>
        <w:gridCol w:w="1897"/>
        <w:gridCol w:w="185"/>
        <w:gridCol w:w="170"/>
        <w:gridCol w:w="994"/>
        <w:gridCol w:w="185"/>
        <w:gridCol w:w="170"/>
        <w:gridCol w:w="1520"/>
        <w:gridCol w:w="234"/>
      </w:tblGrid>
      <w:tr>
        <w:trPr/>
        <w:tc>
          <w:tcPr>
            <w:tcW w:w="1610" w:type="dxa"/>
            <w:tcBorders/>
            <w:vAlign w:val="center"/>
          </w:tcPr>
          <w:p>
            <w:pPr>
              <w:pStyle w:val="TableContents"/>
              <w:bidi w:val="0"/>
              <w:spacing w:before="0" w:after="283"/>
              <w:jc w:val="left"/>
              <w:rPr>
                <w:b/>
              </w:rPr>
            </w:pPr>
            <w:r>
              <w:rPr>
                <w:b/>
              </w:rPr>
              <w:t>Three Quarterly Periods Ended</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5" w:type="dxa"/>
            <w:tcBorders>
              <w:bottom w:val="single" w:sz="2" w:space="0" w:color="000000"/>
            </w:tcBorders>
            <w:tcMar>
              <w:bottom w:w="28" w:type="dxa"/>
            </w:tcMar>
            <w:vAlign w:val="center"/>
          </w:tcPr>
          <w:p>
            <w:pPr>
              <w:pStyle w:val="TableContents"/>
              <w:bidi w:val="0"/>
              <w:spacing w:before="0" w:after="283"/>
              <w:jc w:val="center"/>
              <w:rPr>
                <w:b/>
              </w:rPr>
            </w:pPr>
            <w:r>
              <w:rPr>
                <w:b/>
              </w:rPr>
              <w:t>Berry Net Investment</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0" w:type="dxa"/>
            <w:tcBorders>
              <w:bottom w:val="single" w:sz="2" w:space="0" w:color="000000"/>
            </w:tcBorders>
            <w:tcMar>
              <w:bottom w:w="28" w:type="dxa"/>
            </w:tcMar>
            <w:vAlign w:val="center"/>
          </w:tcPr>
          <w:p>
            <w:pPr>
              <w:pStyle w:val="TableContents"/>
              <w:bidi w:val="0"/>
              <w:spacing w:before="0" w:after="283"/>
              <w:jc w:val="center"/>
              <w:rPr>
                <w:b/>
              </w:rPr>
            </w:pPr>
            <w:r>
              <w:rPr>
                <w:b/>
              </w:rPr>
              <w:t>Additional Paid-in Capital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97" w:type="dxa"/>
            <w:tcBorders>
              <w:bottom w:val="single" w:sz="2" w:space="0" w:color="000000"/>
            </w:tcBorders>
            <w:tcMar>
              <w:bottom w:w="28" w:type="dxa"/>
            </w:tcMar>
            <w:vAlign w:val="center"/>
          </w:tcPr>
          <w:p>
            <w:pPr>
              <w:pStyle w:val="TableContents"/>
              <w:bidi w:val="0"/>
              <w:spacing w:before="0" w:after="283"/>
              <w:jc w:val="center"/>
              <w:rPr>
                <w:b/>
              </w:rPr>
            </w:pPr>
            <w:r>
              <w:rPr>
                <w:b/>
              </w:rPr>
              <w:t>Other Comprehensive Income (Loss) - Currency Translation</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94" w:type="dxa"/>
            <w:tcBorders>
              <w:bottom w:val="single" w:sz="2" w:space="0" w:color="000000"/>
            </w:tcBorders>
            <w:tcMar>
              <w:bottom w:w="28" w:type="dxa"/>
            </w:tcMar>
            <w:vAlign w:val="center"/>
          </w:tcPr>
          <w:p>
            <w:pPr>
              <w:pStyle w:val="TableContents"/>
              <w:bidi w:val="0"/>
              <w:spacing w:before="0" w:after="283"/>
              <w:jc w:val="center"/>
              <w:rPr>
                <w:b/>
              </w:rPr>
            </w:pPr>
            <w:r>
              <w:rPr>
                <w:b/>
              </w:rPr>
              <w:t>Retained Loss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20" w:type="dxa"/>
            <w:tcBorders>
              <w:bottom w:val="single" w:sz="2" w:space="0" w:color="000000"/>
            </w:tcBorders>
            <w:tcMar>
              <w:bottom w:w="28" w:type="dxa"/>
            </w:tcMar>
            <w:vAlign w:val="center"/>
          </w:tcPr>
          <w:p>
            <w:pPr>
              <w:pStyle w:val="TableContents"/>
              <w:bidi w:val="0"/>
              <w:spacing w:before="0" w:after="283"/>
              <w:jc w:val="center"/>
              <w:rPr>
                <w:b/>
              </w:rPr>
            </w:pPr>
            <w:r>
              <w:rPr>
                <w:b/>
              </w:rPr>
              <w:t>Total Stockholders’ Equity</w:t>
            </w:r>
          </w:p>
        </w:tc>
        <w:tc>
          <w:tcPr>
            <w:tcW w:w="234"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Balance at September 28, 2024</w:t>
            </w:r>
          </w:p>
        </w:tc>
        <w:tc>
          <w:tcPr>
            <w:tcW w:w="170" w:type="dxa"/>
            <w:tcBorders/>
            <w:vAlign w:val="center"/>
          </w:tcPr>
          <w:p>
            <w:pPr>
              <w:pStyle w:val="TableContents"/>
              <w:bidi w:val="0"/>
              <w:spacing w:before="0" w:after="283"/>
              <w:jc w:val="left"/>
              <w:rPr>
                <w:b/>
              </w:rPr>
            </w:pPr>
            <w:r>
              <w:rPr>
                <w:b/>
              </w:rPr>
              <w:t>$</w:t>
            </w:r>
          </w:p>
        </w:tc>
        <w:tc>
          <w:tcPr>
            <w:tcW w:w="1235" w:type="dxa"/>
            <w:tcBorders/>
            <w:vAlign w:val="center"/>
          </w:tcPr>
          <w:p>
            <w:pPr>
              <w:pStyle w:val="TableContents"/>
              <w:bidi w:val="0"/>
              <w:spacing w:before="0" w:after="283"/>
              <w:jc w:val="right"/>
              <w:rPr>
                <w:b/>
              </w:rPr>
            </w:pPr>
            <w:r>
              <w:rPr>
                <w:b/>
              </w:rPr>
              <w:t>2,307</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897" w:type="dxa"/>
            <w:tcBorders/>
            <w:vAlign w:val="center"/>
          </w:tcPr>
          <w:p>
            <w:pPr>
              <w:pStyle w:val="TableContents"/>
              <w:bidi w:val="0"/>
              <w:spacing w:before="0" w:after="283"/>
              <w:jc w:val="right"/>
              <w:rPr>
                <w:b/>
              </w:rPr>
            </w:pPr>
            <w:r>
              <w:rPr>
                <w:b/>
              </w:rPr>
              <w:t>(168</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b/>
              </w:rPr>
            </w:pPr>
            <w:r>
              <w:rPr>
                <w:b/>
              </w:rPr>
              <w:t>$</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520" w:type="dxa"/>
            <w:tcBorders/>
            <w:vAlign w:val="center"/>
          </w:tcPr>
          <w:p>
            <w:pPr>
              <w:pStyle w:val="TableContents"/>
              <w:bidi w:val="0"/>
              <w:spacing w:before="0" w:after="283"/>
              <w:jc w:val="right"/>
              <w:rPr>
                <w:b/>
              </w:rPr>
            </w:pPr>
            <w:r>
              <w:rPr>
                <w:b/>
              </w:rPr>
              <w:t>2,139</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Net loss</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b/>
              </w:rPr>
            </w:pPr>
            <w:r>
              <w:rPr>
                <w:b/>
              </w:rPr>
              <w:t>(119</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b/>
              </w:rPr>
            </w:pPr>
            <w:r>
              <w:rPr>
                <w:b/>
              </w:rPr>
              <w:t>(119</w:t>
            </w:r>
          </w:p>
        </w:tc>
        <w:tc>
          <w:tcPr>
            <w:tcW w:w="234" w:type="dxa"/>
            <w:tcBorders/>
            <w:vAlign w:val="center"/>
          </w:tcPr>
          <w:p>
            <w:pPr>
              <w:pStyle w:val="TableContents"/>
              <w:bidi w:val="0"/>
              <w:spacing w:before="0" w:after="283"/>
              <w:jc w:val="left"/>
              <w:rPr>
                <w:b/>
              </w:rPr>
            </w:pPr>
            <w:r>
              <w:rPr>
                <w:b/>
              </w:rPr>
              <w:t>) </w:t>
            </w:r>
          </w:p>
        </w:tc>
      </w:tr>
      <w:tr>
        <w:trPr/>
        <w:tc>
          <w:tcPr>
            <w:tcW w:w="1610" w:type="dxa"/>
            <w:tcBorders/>
            <w:vAlign w:val="center"/>
          </w:tcPr>
          <w:p>
            <w:pPr>
              <w:pStyle w:val="TableContents"/>
              <w:bidi w:val="0"/>
              <w:spacing w:before="0" w:after="283"/>
              <w:jc w:val="left"/>
              <w:rPr/>
            </w:pPr>
            <w:r>
              <w:rPr/>
              <w:t>Other comprehensive income (loss)</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b/>
              </w:rPr>
            </w:pPr>
            <w:r>
              <w:rPr>
                <w:b/>
              </w:rPr>
              <w:t>4</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b/>
              </w:rPr>
            </w:pPr>
            <w:r>
              <w:rPr>
                <w:b/>
              </w:rPr>
              <w:t>4</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Transfers to Berry, net</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b/>
              </w:rPr>
            </w:pPr>
            <w:r>
              <w:rPr>
                <w:b/>
              </w:rPr>
              <w:t>(1,111</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b/>
              </w:rPr>
            </w:pPr>
            <w:r>
              <w:rPr>
                <w:b/>
              </w:rPr>
              <w:t>(1,111</w:t>
            </w:r>
          </w:p>
        </w:tc>
        <w:tc>
          <w:tcPr>
            <w:tcW w:w="234" w:type="dxa"/>
            <w:tcBorders/>
            <w:vAlign w:val="center"/>
          </w:tcPr>
          <w:p>
            <w:pPr>
              <w:pStyle w:val="TableContents"/>
              <w:bidi w:val="0"/>
              <w:spacing w:before="0" w:after="283"/>
              <w:jc w:val="left"/>
              <w:rPr>
                <w:b/>
              </w:rPr>
            </w:pPr>
            <w:r>
              <w:rPr>
                <w:b/>
              </w:rPr>
              <w:t>) </w:t>
            </w:r>
          </w:p>
        </w:tc>
      </w:tr>
      <w:tr>
        <w:trPr/>
        <w:tc>
          <w:tcPr>
            <w:tcW w:w="1610" w:type="dxa"/>
            <w:tcBorders/>
            <w:vAlign w:val="center"/>
          </w:tcPr>
          <w:p>
            <w:pPr>
              <w:pStyle w:val="TableContents"/>
              <w:bidi w:val="0"/>
              <w:spacing w:before="0" w:after="283"/>
              <w:jc w:val="left"/>
              <w:rPr/>
            </w:pPr>
            <w:r>
              <w:rPr/>
              <w:t>October net investment</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b/>
              </w:rPr>
            </w:pPr>
            <w:r>
              <w:rPr>
                <w:b/>
              </w:rPr>
              <w:t>129</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b/>
              </w:rPr>
            </w:pPr>
            <w:r>
              <w:rPr>
                <w:b/>
              </w:rPr>
              <w:t>129</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Distribution of Berry’s net investment</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b/>
              </w:rPr>
            </w:pPr>
            <w:r>
              <w:rPr>
                <w:b/>
              </w:rPr>
              <w:t>(1,325</w:t>
            </w:r>
          </w:p>
        </w:tc>
        <w:tc>
          <w:tcPr>
            <w:tcW w:w="185" w:type="dxa"/>
            <w:tcBorders/>
            <w:vAlign w:val="center"/>
          </w:tcPr>
          <w:p>
            <w:pPr>
              <w:pStyle w:val="TableContents"/>
              <w:bidi w:val="0"/>
              <w:spacing w:before="0" w:after="283"/>
              <w:jc w:val="left"/>
              <w:rPr>
                <w:b/>
              </w:rPr>
            </w:pPr>
            <w:r>
              <w:rPr>
                <w:b/>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1,325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Acquisition of GLT</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74</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b/>
              </w:rPr>
            </w:pPr>
            <w:r>
              <w:rPr>
                <w:b/>
              </w:rPr>
              <w:t>74</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Share-based compensation</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b/>
              </w:rPr>
            </w:pPr>
            <w:r>
              <w:rPr>
                <w:b/>
              </w:rPr>
              <w:t>15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b/>
              </w:rPr>
            </w:pPr>
            <w:r>
              <w:rPr>
                <w:b/>
              </w:rPr>
              <w:t>15</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Other</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35"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7"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4"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283"/>
              <w:jc w:val="right"/>
              <w:rPr/>
            </w:pPr>
            <w:r>
              <w:rPr/>
              <w:t>—</w:t>
            </w:r>
          </w:p>
        </w:tc>
        <w:tc>
          <w:tcPr>
            <w:tcW w:w="23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b/>
              </w:rPr>
            </w:pPr>
            <w:r>
              <w:rPr>
                <w:b/>
              </w:rPr>
              <w:t>Balance at June 28, 2025</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tcMar>
              <w:bottom w:w="28" w:type="dxa"/>
            </w:tcMar>
            <w:vAlign w:val="center"/>
          </w:tcPr>
          <w:p>
            <w:pPr>
              <w:pStyle w:val="TableContents"/>
              <w:bidi w:val="0"/>
              <w:spacing w:before="0" w:after="283"/>
              <w:jc w:val="right"/>
              <w:rPr>
                <w:b/>
              </w:rPr>
            </w:pPr>
            <w:r>
              <w:rPr>
                <w:b/>
              </w:rPr>
              <w:t>1,414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897" w:type="dxa"/>
            <w:tcBorders>
              <w:bottom w:val="double" w:sz="6" w:space="0" w:color="000000"/>
            </w:tcBorders>
            <w:tcMar>
              <w:bottom w:w="28" w:type="dxa"/>
            </w:tcMar>
            <w:vAlign w:val="center"/>
          </w:tcPr>
          <w:p>
            <w:pPr>
              <w:pStyle w:val="TableContents"/>
              <w:bidi w:val="0"/>
              <w:spacing w:before="0" w:after="283"/>
              <w:jc w:val="right"/>
              <w:rPr>
                <w:b/>
              </w:rPr>
            </w:pPr>
            <w:r>
              <w:rPr>
                <w:b/>
              </w:rPr>
              <w:t>(164</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94" w:type="dxa"/>
            <w:tcBorders>
              <w:bottom w:val="double" w:sz="6" w:space="0" w:color="000000"/>
            </w:tcBorders>
            <w:tcMar>
              <w:bottom w:w="28" w:type="dxa"/>
            </w:tcMar>
            <w:vAlign w:val="center"/>
          </w:tcPr>
          <w:p>
            <w:pPr>
              <w:pStyle w:val="TableContents"/>
              <w:bidi w:val="0"/>
              <w:spacing w:before="0" w:after="283"/>
              <w:jc w:val="right"/>
              <w:rPr>
                <w:b/>
              </w:rPr>
            </w:pPr>
            <w:r>
              <w:rPr>
                <w:b/>
              </w:rPr>
              <w:t>(119</w:t>
            </w:r>
          </w:p>
        </w:tc>
        <w:tc>
          <w:tcPr>
            <w:tcW w:w="185" w:type="dxa"/>
            <w:tcBorders>
              <w:bottom w:val="double" w:sz="6" w:space="0" w:color="000000"/>
            </w:tcBorders>
            <w:tcMar>
              <w:bottom w:w="28" w:type="dxa"/>
            </w:tcMar>
            <w:vAlign w:val="center"/>
          </w:tcPr>
          <w:p>
            <w:pPr>
              <w:pStyle w:val="TableContents"/>
              <w:bidi w:val="0"/>
              <w:spacing w:before="0" w:after="283"/>
              <w:jc w:val="left"/>
              <w:rPr>
                <w:b/>
              </w:rPr>
            </w:pPr>
            <w:r>
              <w:rPr>
                <w:b/>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520" w:type="dxa"/>
            <w:tcBorders>
              <w:bottom w:val="double" w:sz="6" w:space="0" w:color="000000"/>
            </w:tcBorders>
            <w:tcMar>
              <w:bottom w:w="28" w:type="dxa"/>
            </w:tcMar>
            <w:vAlign w:val="center"/>
          </w:tcPr>
          <w:p>
            <w:pPr>
              <w:pStyle w:val="TableContents"/>
              <w:bidi w:val="0"/>
              <w:spacing w:before="0" w:after="283"/>
              <w:jc w:val="right"/>
              <w:rPr>
                <w:b/>
              </w:rPr>
            </w:pPr>
            <w:r>
              <w:rPr>
                <w:b/>
              </w:rPr>
              <w:t>1,131</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pPr>
            <w:r>
              <w:rPr/>
              <w:t>Balance at September 30, 2023</w:t>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2,561</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97" w:type="dxa"/>
            <w:tcBorders/>
            <w:vAlign w:val="center"/>
          </w:tcPr>
          <w:p>
            <w:pPr>
              <w:pStyle w:val="TableContents"/>
              <w:bidi w:val="0"/>
              <w:spacing w:before="0" w:after="283"/>
              <w:jc w:val="right"/>
              <w:rPr/>
            </w:pPr>
            <w:r>
              <w:rPr/>
              <w:t>(171</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right"/>
              <w:rPr/>
            </w:pPr>
            <w:r>
              <w:rPr/>
              <w:t>2,390</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Net income</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25</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25</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Other comprehensive income (loss)</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97" w:type="dxa"/>
            <w:tcBorders/>
            <w:vAlign w:val="center"/>
          </w:tcPr>
          <w:p>
            <w:pPr>
              <w:pStyle w:val="TableContents"/>
              <w:bidi w:val="0"/>
              <w:spacing w:before="0" w:after="283"/>
              <w:jc w:val="right"/>
              <w:rPr/>
            </w:pPr>
            <w:r>
              <w:rPr/>
              <w:t>(19</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right"/>
              <w:rPr/>
            </w:pPr>
            <w:r>
              <w:rPr/>
              <w:t>(19</w:t>
            </w:r>
          </w:p>
        </w:tc>
        <w:tc>
          <w:tcPr>
            <w:tcW w:w="234"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Transfers from parent, net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35" w:type="dxa"/>
            <w:tcBorders>
              <w:bottom w:val="single" w:sz="2" w:space="0" w:color="000000"/>
            </w:tcBorders>
            <w:tcMar>
              <w:bottom w:w="28" w:type="dxa"/>
            </w:tcMar>
            <w:vAlign w:val="center"/>
          </w:tcPr>
          <w:p>
            <w:pPr>
              <w:pStyle w:val="TableContents"/>
              <w:bidi w:val="0"/>
              <w:spacing w:before="0" w:after="283"/>
              <w:jc w:val="right"/>
              <w:rPr/>
            </w:pPr>
            <w:r>
              <w:rPr/>
              <w:t>(2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7"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94"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20" w:type="dxa"/>
            <w:tcBorders>
              <w:bottom w:val="single" w:sz="2" w:space="0" w:color="000000"/>
            </w:tcBorders>
            <w:tcMar>
              <w:bottom w:w="28" w:type="dxa"/>
            </w:tcMar>
            <w:vAlign w:val="center"/>
          </w:tcPr>
          <w:p>
            <w:pPr>
              <w:pStyle w:val="TableContents"/>
              <w:bidi w:val="0"/>
              <w:spacing w:before="0" w:after="283"/>
              <w:jc w:val="right"/>
              <w:rPr/>
            </w:pPr>
            <w:r>
              <w:rPr/>
              <w:t>(2</w:t>
            </w:r>
          </w:p>
        </w:tc>
        <w:tc>
          <w:tcPr>
            <w:tcW w:w="23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Balance at June 29, 2024</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2,584</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97" w:type="dxa"/>
            <w:tcBorders>
              <w:bottom w:val="double" w:sz="6" w:space="0" w:color="000000"/>
            </w:tcBorders>
            <w:tcMar>
              <w:bottom w:w="28" w:type="dxa"/>
            </w:tcMar>
            <w:vAlign w:val="center"/>
          </w:tcPr>
          <w:p>
            <w:pPr>
              <w:pStyle w:val="TableContents"/>
              <w:bidi w:val="0"/>
              <w:spacing w:before="0" w:after="283"/>
              <w:jc w:val="right"/>
              <w:rPr/>
            </w:pPr>
            <w:r>
              <w:rPr/>
              <w:t>(190</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994"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tcMar>
              <w:bottom w:w="28" w:type="dxa"/>
            </w:tcMar>
            <w:vAlign w:val="center"/>
          </w:tcPr>
          <w:p>
            <w:pPr>
              <w:pStyle w:val="TableContents"/>
              <w:bidi w:val="0"/>
              <w:spacing w:before="0" w:after="283"/>
              <w:jc w:val="right"/>
              <w:rPr/>
            </w:pPr>
            <w:r>
              <w:rPr/>
              <w:t>2,394</w:t>
            </w:r>
          </w:p>
        </w:tc>
        <w:tc>
          <w:tcPr>
            <w:tcW w:w="234"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center"/>
        <w:rPr/>
      </w:pPr>
      <w:r>
        <w:rPr/>
        <w:t> </w:t>
      </w:r>
    </w:p>
    <w:p>
      <w:pPr>
        <w:pStyle w:val="TextBody"/>
        <w:bidi w:val="0"/>
        <w:spacing w:lineRule="auto" w:line="324" w:before="0" w:after="0"/>
        <w:jc w:val="center"/>
        <w:rPr>
          <w:rFonts w:ascii="Times New Roman" w:hAnsi="Times New Roman"/>
          <w:sz w:val="18"/>
        </w:rPr>
      </w:pPr>
      <w:r>
        <w:rPr>
          <w:rFonts w:ascii="Times New Roman" w:hAnsi="Times New Roman"/>
          <w:i/>
          <w:sz w:val="20"/>
        </w:rPr>
        <w:t>See notes to consolidated and combined financial statements.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- 5 -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jc w:val="center"/>
        <w:rPr>
          <w:rFonts w:ascii="Times New Roman" w:hAnsi="Times New Roman"/>
          <w:sz w:val="18"/>
        </w:rPr>
      </w:pPr>
      <w:bookmarkStart w:id="8" w:name="Section10"/>
      <w:bookmarkEnd w:id="8"/>
      <w:r>
        <w:rPr>
          <w:rFonts w:ascii="Times New Roman" w:hAnsi="Times New Roman"/>
          <w:b/>
          <w:sz w:val="20"/>
        </w:rPr>
        <w:t>Magnera Corporation</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b/>
          <w:sz w:val="20"/>
        </w:rPr>
        <w:t>Notes to Consolidated Financial Statements</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(Unaudited)</w:t>
      </w:r>
      <w:r>
        <w:rPr>
          <w:rFonts w:ascii="Times New Roman" w:hAnsi="Times New Roman"/>
          <w:sz w:val="18"/>
        </w:rPr>
        <w:t xml:space="preserve"> </w:t>
      </w:r>
    </w:p>
    <w:p>
      <w:pPr>
        <w:pStyle w:val="TextBody"/>
        <w:bidi w:val="0"/>
        <w:spacing w:lineRule="auto" w:line="324" w:before="0" w:after="0"/>
        <w:jc w:val="center"/>
        <w:rPr>
          <w:rFonts w:ascii="Times New Roman" w:hAnsi="Times New Roman"/>
          <w:sz w:val="18"/>
        </w:rPr>
      </w:pPr>
      <w:r>
        <w:rPr>
          <w:rFonts w:ascii="Times New Roman" w:hAnsi="Times New Roman"/>
          <w:sz w:val="16"/>
        </w:rPr>
        <w:t>(tables in millions of dollars, except per share data)</w:t>
      </w:r>
      <w:r>
        <w:rPr>
          <w:rFonts w:ascii="Times New Roman" w:hAnsi="Times New Roman"/>
          <w:sz w:val="18"/>
        </w:rPr>
        <w:t xml:space="preserve"> </w:t>
      </w:r>
    </w:p>
    <w:p>
      <w:pPr>
        <w:pStyle w:val="TextBody"/>
        <w:bidi w:val="0"/>
        <w:spacing w:lineRule="auto" w:line="324" w:before="0" w:after="0"/>
        <w:jc w:val="left"/>
        <w:rPr/>
      </w:pPr>
      <w:r>
        <w:rPr/>
        <w:t xml:space="preserve">  </w:t>
      </w:r>
    </w:p>
    <w:p>
      <w:pPr>
        <w:pStyle w:val="TextBody"/>
        <w:bidi w:val="0"/>
        <w:spacing w:lineRule="auto" w:line="324" w:before="0" w:after="0"/>
        <w:ind w:left="0" w:right="0" w:hanging="540"/>
        <w:jc w:val="left"/>
        <w:rPr/>
      </w:pPr>
      <w:r>
        <w:rPr/>
        <w:t> </w:t>
      </w:r>
    </w:p>
    <w:p>
      <w:pPr>
        <w:pStyle w:val="TextBody"/>
        <w:bidi w:val="0"/>
        <w:spacing w:lineRule="auto" w:line="314" w:before="0" w:after="0"/>
        <w:jc w:val="left"/>
        <w:rPr>
          <w:rFonts w:ascii="Times New Roman" w:hAnsi="Times New Roman"/>
          <w:b/>
          <w:sz w:val="18"/>
        </w:rPr>
      </w:pPr>
      <w:r>
        <w:rPr>
          <w:rFonts w:ascii="Times New Roman" w:hAnsi="Times New Roman"/>
          <w:b/>
          <w:sz w:val="18"/>
        </w:rPr>
        <w:t>1.         Basis of Presentation</w:t>
      </w:r>
    </w:p>
    <w:p>
      <w:pPr>
        <w:pStyle w:val="TextBody"/>
        <w:bidi w:val="0"/>
        <w:spacing w:lineRule="auto" w:line="31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On November 4, 2024 (the “Closing Date”), Treasure Holdco, Inc. (“Treasure”), which was a wholly owned subsidiary of Berry Global Group, Inc. (“Berry”), completed its merger (the “Transaction”) with the Glatfelter Corporation (“GLT” or “Glatfelter”) which concurrently changed its name to Magnera Corporation (the “Company,” “we,” or “Magnera”).  As a result, pre-Transaction Treasure shareholders received shares of Magnera representing 90% of the combined company and GLT shareholders retained 10%.  As Treasure was identified as the accounting acquirer, the prior year presentation represents standalone Treasure results with the acquisition method of accounting being applied to the assets acquired and liabilities assumed of GLT. See Note 3—Acquisition.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accompanying unaudited Consolidated and Combined Financial Statements of Magnera Corporation have been prepared in accordance with accounting principles generally accepted in the United States (“GAAP”) pursuant to the rules and regulations of the Securities and Exchange Commission (the "SEC") for interim reporting.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 For further information, refer to the Company’s Form 8-K/A filed on January 31, 2025 with the SEC.</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The pre-Transaction combined financial results of operations, financial position, and cash flows have been prepared on a carve-out basis, which include assumptions underlying the preparation that management believe are reasonable. However, the combined pre-Transaction financial information included herein may not necessarily reflect the Company’s results of operations, financial position, and cash flows had the Company been an independent stand-alone company during the periods presented.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For periods prior to the Closing Date, transactions between Berry and Treasure were reflected as a component of Berry's net investment in the Consolidated and Combined Balance Sheets and as a financing activity within the accompanying Consolidated and Combined Statements of Cash Flows. Berry's net investment on the Consolidated and Combined Balance Sheet and Consolidated and Combined Statement of Stockholders’ Equity represents the cumulative net investment by Berry in Treasure.  Concurrent with the closing of the Transaction, Berry received a cash distribution and, in turn, transferred Berry’s health, hygiene and specialties global nonwovens and films business to Treasure.  As a result, Berry's net investment in Treasure was reduced to zero with a corresponding adjustment to Additional Paid-in Capital.</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color w:val="000000"/>
          <w:sz w:val="18"/>
        </w:rPr>
        <w:t>Recently Issued Accounting Pronouncements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In 2023, the Financial Accounting Standards Board ("FASB") issued guidance with the goal of providing more information about reportable segments, including disaggregated expense information. The Company will adopt all required disclosures requirements in fiscal 2025.</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 2023, the FASB issued guidance with the goal of providing more information in the income tax reconciliation table and regarding income taxes paid. This ASU is effective for fiscal years beginning after December 15, 2024, may be applied prospectively or retrospectively, and allows for early adoption. The Company is currently evaluating the impact of adopting this guidance.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In 2024, the FASB issued guidance with the goal of providing more expense information for certain categories of expenses that are included in line items on the face of the statements of earnings. This ASU is effective for fiscal years beginning after December 15, 2026 and for interim periods beginning after December 15, 2027, and may be adopted on a prospective or retrospective basis, and allows for early adoption. The Company is currently evaluating the impact of adopting this guidance. </w:t>
      </w:r>
    </w:p>
    <w:p>
      <w:pPr>
        <w:pStyle w:val="TextBody"/>
        <w:bidi w:val="0"/>
        <w:spacing w:lineRule="auto" w:line="314" w:before="0" w:after="0"/>
        <w:jc w:val="left"/>
        <w:rPr/>
      </w:pPr>
      <w:r>
        <w:rPr/>
        <w:t> </w:t>
      </w:r>
    </w:p>
    <w:p>
      <w:pPr>
        <w:pStyle w:val="TextBody"/>
        <w:bidi w:val="0"/>
        <w:spacing w:lineRule="auto" w:line="324"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2.         Revenue and Accounts Receivable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geography. See Note 9—Segment and Geographic Data.</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- 6 -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 records current expected credit losses based on a variety of factors including historical loss experience and current customer financial condition.  The changes to our current expected credit losses, write-off activity, and recoveries were not material for any of the periods presented.</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Company has entered into various factoring agreements, primarily customer-based supply chain financing programs, to sell certain receivables to third-party financial institutions.  These agreements result in true sales of the transferred receivables, which occur when receivables are transferred without recourse to the Company, are reflected as a reduction of trade receivables, net on the consolidated and combined balance sheets and the proceeds are included in the cash flows from operating activities in the consolidated and combined statements of cash flows.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3.         Acquisition</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color w:val="000000"/>
          <w:sz w:val="18"/>
        </w:rPr>
        <w:t>Glatfelter</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Transaction combined GLT’s sustainable solutions and product portfolio with Treasure’s proprietary technologies and global scale.  The Company is now a global leader in growing markets while serving some of the world’s largest brand owners.  The results of GLT have been included in the consolidated results of the Company since the Closing Date.</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The GLT acquisition has been accounted for under the purchase method of accounting. Under this method, the assets acquired and liabilities assumed have been recorded based on estimated fair values as of the Closing Date. Certain assets, including inventory, intangibles, and property, plant, and equipment included in the purchase price allocation have been estimated based on the current valuation. The Company's valuation analysis over the acquired business will be finalized during the fourth quarter. The Company has recognized goodwill on this Transaction primarily as a result of expected cost synergies and expects goodwill not to be deductible for tax purposes.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following table summarizes the purchase price allocation, which is preliminary and subject to change within one year of the Closing Date:</w:t>
      </w:r>
      <w:r>
        <w:rPr>
          <w:rFonts w:ascii="Times New Roman" w:hAnsi="Times New Roman"/>
          <w:sz w:val="18"/>
        </w:rPr>
        <w:t xml:space="preserve"> </w:t>
      </w:r>
    </w:p>
    <w:p>
      <w:pPr>
        <w:pStyle w:val="TextBody"/>
        <w:bidi w:val="0"/>
        <w:spacing w:before="0" w:after="0"/>
        <w:jc w:val="left"/>
        <w:rPr/>
      </w:pPr>
      <w:r>
        <w:rPr/>
        <w:t> </w:t>
      </w:r>
    </w:p>
    <w:tbl>
      <w:tblPr>
        <w:tblW w:w="6410" w:type="dxa"/>
        <w:jc w:val="left"/>
        <w:tblInd w:w="0" w:type="dxa"/>
        <w:tblLayout w:type="fixed"/>
        <w:tblCellMar>
          <w:top w:w="0" w:type="dxa"/>
          <w:left w:w="0" w:type="dxa"/>
          <w:bottom w:w="0" w:type="dxa"/>
          <w:right w:w="0" w:type="dxa"/>
        </w:tblCellMar>
      </w:tblPr>
      <w:tblGrid>
        <w:gridCol w:w="5525"/>
        <w:gridCol w:w="170"/>
        <w:gridCol w:w="485"/>
        <w:gridCol w:w="230"/>
      </w:tblGrid>
      <w:tr>
        <w:trPr/>
        <w:tc>
          <w:tcPr>
            <w:tcW w:w="5525" w:type="dxa"/>
            <w:tcBorders/>
            <w:vAlign w:val="center"/>
          </w:tcPr>
          <w:p>
            <w:pPr>
              <w:pStyle w:val="TableContents"/>
              <w:bidi w:val="0"/>
              <w:spacing w:before="0" w:after="283"/>
              <w:jc w:val="left"/>
              <w:rPr/>
            </w:pPr>
            <w:r>
              <w:rPr/>
              <w:t>Fair value of GLT common stock concurrent with closing</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74</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b/>
              </w:rPr>
            </w:pPr>
            <w:r>
              <w:rPr>
                <w:b/>
              </w:rPr>
              <w:t>Identifiable assets acquired and liabilities assumed</w:t>
            </w:r>
          </w:p>
        </w:tc>
        <w:tc>
          <w:tcPr>
            <w:tcW w:w="1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5525" w:type="dxa"/>
            <w:tcBorders/>
            <w:vAlign w:val="center"/>
          </w:tcPr>
          <w:p>
            <w:pPr>
              <w:pStyle w:val="TableContents"/>
              <w:bidi w:val="0"/>
              <w:spacing w:before="0" w:after="283"/>
              <w:jc w:val="left"/>
              <w:rPr/>
            </w:pPr>
            <w:r>
              <w:rPr/>
              <w:t>Cash</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37</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Working capital(a)</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246</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Property, plant and equipment</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578</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Identifiable intangible assets</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19</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Other assets</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71</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Other long-term liabilities</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(100</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Debt</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(869</w:t>
            </w:r>
          </w:p>
        </w:tc>
        <w:tc>
          <w:tcPr>
            <w:tcW w:w="230" w:type="dxa"/>
            <w:tcBorders/>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pPr>
            <w:r>
              <w:rPr/>
              <w:t>Goodwill(b)</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485" w:type="dxa"/>
            <w:tcBorders>
              <w:bottom w:val="single" w:sz="2" w:space="0" w:color="000000"/>
            </w:tcBorders>
            <w:tcMar>
              <w:bottom w:w="28" w:type="dxa"/>
            </w:tcMar>
            <w:vAlign w:val="center"/>
          </w:tcPr>
          <w:p>
            <w:pPr>
              <w:pStyle w:val="TableContents"/>
              <w:bidi w:val="0"/>
              <w:spacing w:before="0" w:after="283"/>
              <w:jc w:val="right"/>
              <w:rPr/>
            </w:pPr>
            <w:r>
              <w:rPr/>
              <w:t>92</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25" w:type="dxa"/>
            <w:tcBorders/>
            <w:vAlign w:val="center"/>
          </w:tcPr>
          <w:p>
            <w:pPr>
              <w:pStyle w:val="TableContents"/>
              <w:bidi w:val="0"/>
              <w:spacing w:before="0" w:after="283"/>
              <w:jc w:val="left"/>
              <w:rPr>
                <w:b/>
              </w:rPr>
            </w:pPr>
            <w:r>
              <w:rPr>
                <w:b/>
              </w:rPr>
              <w:t>Total consideration</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485" w:type="dxa"/>
            <w:tcBorders>
              <w:bottom w:val="double" w:sz="6" w:space="0" w:color="000000"/>
            </w:tcBorders>
            <w:tcMar>
              <w:bottom w:w="28" w:type="dxa"/>
            </w:tcMar>
            <w:vAlign w:val="center"/>
          </w:tcPr>
          <w:p>
            <w:pPr>
              <w:pStyle w:val="TableContents"/>
              <w:bidi w:val="0"/>
              <w:spacing w:before="0" w:after="283"/>
              <w:jc w:val="right"/>
              <w:rPr>
                <w:b/>
              </w:rPr>
            </w:pPr>
            <w:r>
              <w:rPr>
                <w:b/>
              </w:rPr>
              <w:t>74</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r>
        <w:rPr>
          <w:rFonts w:ascii="Times New Roman" w:hAnsi="Times New Roman"/>
          <w:i/>
          <w:position w:val="5"/>
          <w:sz w:val="13"/>
          <w:sz w:val="16"/>
        </w:rPr>
        <w:t>(a)</w:t>
      </w:r>
      <w:r>
        <w:rPr>
          <w:rFonts w:ascii="Times New Roman" w:hAnsi="Times New Roman"/>
          <w:i/>
          <w:sz w:val="16"/>
        </w:rPr>
        <w:t xml:space="preserve"> Includes a $12 million step up of inventory to fair value</w:t>
      </w:r>
    </w:p>
    <w:p>
      <w:pPr>
        <w:pStyle w:val="TextBody"/>
        <w:bidi w:val="0"/>
        <w:spacing w:before="0" w:after="0"/>
        <w:jc w:val="left"/>
        <w:rPr>
          <w:spacing w:val="0"/>
        </w:rPr>
      </w:pPr>
      <w:r>
        <w:rPr>
          <w:spacing w:val="0"/>
          <w:position w:val="8"/>
          <w:sz w:val="19"/>
        </w:rPr>
        <w:t xml:space="preserve">            </w:t>
      </w:r>
      <w:r>
        <w:rPr>
          <w:rFonts w:ascii="Times New Roman" w:hAnsi="Times New Roman"/>
          <w:i/>
          <w:spacing w:val="0"/>
          <w:position w:val="5"/>
          <w:sz w:val="13"/>
          <w:sz w:val="16"/>
        </w:rPr>
        <w:t>(b)</w:t>
      </w:r>
      <w:r>
        <w:rPr>
          <w:rFonts w:ascii="Times New Roman" w:hAnsi="Times New Roman"/>
          <w:i/>
          <w:spacing w:val="0"/>
          <w:sz w:val="16"/>
        </w:rPr>
        <w:t> Recorded in Americas segment</w:t>
      </w:r>
    </w:p>
    <w:p>
      <w:pPr>
        <w:pStyle w:val="TextBody"/>
        <w:bidi w:val="0"/>
        <w:spacing w:lineRule="auto" w:line="324"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When including GLT results for the periods prior to the Closing Date, unaudited pro forma net sales and net loss were $885 million and $20 million, respectively for the quarterly period ended June 29, 2024, $2,477 million and $131 million, respectively, for the three quarterly periods ended June 28, 2025, and $2,610 million and $80 million, respectively, for the three quarterly periods ended June 29, 2024. The unaudited pro forma net sales and net income figures assume that the Transaction was consummated as of the beginning of the relevant period.</w:t>
      </w:r>
      <w:r>
        <w:rPr>
          <w:rFonts w:ascii="Times New Roman" w:hAnsi="Times New Roman"/>
          <w:sz w:val="18"/>
        </w:rPr>
        <w:t xml:space="preserve"> </w:t>
      </w:r>
    </w:p>
    <w:p>
      <w:pPr>
        <w:pStyle w:val="TextBody"/>
        <w:bidi w:val="0"/>
        <w:spacing w:lineRule="auto" w:line="31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- 7 -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24" w:before="0" w:after="0"/>
        <w:ind w:left="0" w:right="0" w:hanging="540"/>
        <w:jc w:val="left"/>
        <w:rPr/>
      </w:pPr>
      <w:r>
        <w:rPr/>
        <w:t> </w:t>
      </w:r>
    </w:p>
    <w:p>
      <w:pPr>
        <w:pStyle w:val="TextBody"/>
        <w:bidi w:val="0"/>
        <w:spacing w:lineRule="auto" w:line="324" w:before="0" w:after="0"/>
        <w:jc w:val="left"/>
        <w:rPr>
          <w:rFonts w:ascii="Times New Roman" w:hAnsi="Times New Roman"/>
          <w:b/>
          <w:sz w:val="18"/>
        </w:rPr>
      </w:pPr>
      <w:r>
        <w:rPr>
          <w:rFonts w:ascii="Times New Roman" w:hAnsi="Times New Roman"/>
          <w:b/>
          <w:sz w:val="18"/>
        </w:rPr>
        <w:t>4.         Transaction and Other Activities</w:t>
      </w:r>
    </w:p>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table below sets forth the significant components of the Transaction and other activities, including supply chain financings activity charges recognized for the periods presented, by reportable segment:</w:t>
      </w:r>
      <w:r>
        <w:rPr>
          <w:rFonts w:ascii="Times New Roman" w:hAnsi="Times New Roman"/>
          <w:sz w:val="18"/>
        </w:rPr>
        <w:t xml:space="preserve"> </w:t>
      </w:r>
    </w:p>
    <w:p>
      <w:pPr>
        <w:pStyle w:val="TextBody"/>
        <w:bidi w:val="0"/>
        <w:spacing w:lineRule="auto" w:line="324" w:before="0" w:after="0"/>
        <w:jc w:val="left"/>
        <w:rPr/>
      </w:pPr>
      <w:r>
        <w:rPr/>
        <w:t> </w:t>
      </w:r>
    </w:p>
    <w:tbl>
      <w:tblPr>
        <w:tblW w:w="8415" w:type="dxa"/>
        <w:jc w:val="left"/>
        <w:tblInd w:w="0" w:type="dxa"/>
        <w:tblLayout w:type="fixed"/>
        <w:tblCellMar>
          <w:top w:w="0" w:type="dxa"/>
          <w:left w:w="0" w:type="dxa"/>
          <w:bottom w:w="0" w:type="dxa"/>
          <w:right w:w="0" w:type="dxa"/>
        </w:tblCellMar>
      </w:tblPr>
      <w:tblGrid>
        <w:gridCol w:w="1400"/>
        <w:gridCol w:w="170"/>
        <w:gridCol w:w="1445"/>
        <w:gridCol w:w="90"/>
        <w:gridCol w:w="90"/>
        <w:gridCol w:w="170"/>
        <w:gridCol w:w="1385"/>
        <w:gridCol w:w="90"/>
        <w:gridCol w:w="90"/>
        <w:gridCol w:w="170"/>
        <w:gridCol w:w="1445"/>
        <w:gridCol w:w="90"/>
        <w:gridCol w:w="90"/>
        <w:gridCol w:w="170"/>
        <w:gridCol w:w="1385"/>
        <w:gridCol w:w="135"/>
      </w:tblGrid>
      <w:tr>
        <w:trPr/>
        <w:tc>
          <w:tcPr>
            <w:tcW w:w="1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 </w:t>
            </w:r>
          </w:p>
        </w:tc>
        <w:tc>
          <w:tcPr>
            <w:tcW w:w="344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48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140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400" w:type="dxa"/>
            <w:tcBorders/>
            <w:vAlign w:val="center"/>
          </w:tcPr>
          <w:p>
            <w:pPr>
              <w:pStyle w:val="TableContents"/>
              <w:bidi w:val="0"/>
              <w:spacing w:before="0" w:after="283"/>
              <w:jc w:val="left"/>
              <w:rPr/>
            </w:pPr>
            <w:r>
              <w:rPr/>
              <w:t>Americas</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10</w:t>
            </w:r>
          </w:p>
        </w:tc>
        <w:tc>
          <w:tcPr>
            <w:tcW w:w="135" w:type="dxa"/>
            <w:tcBorders/>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Rest of World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8</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400" w:type="dxa"/>
            <w:tcBorders/>
            <w:vAlign w:val="center"/>
          </w:tcPr>
          <w:p>
            <w:pPr>
              <w:pStyle w:val="TableContents"/>
              <w:bidi w:val="0"/>
              <w:spacing w:before="0" w:after="283"/>
              <w:jc w:val="left"/>
              <w:rPr/>
            </w:pPr>
            <w:r>
              <w:rPr/>
              <w:t>Consolidated</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14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4</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69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18</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table below sets forth the activity with respect to the Transaction and other activities accrual at June 28, 2025:</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79"/>
        <w:gridCol w:w="170"/>
        <w:gridCol w:w="1745"/>
        <w:gridCol w:w="185"/>
        <w:gridCol w:w="90"/>
        <w:gridCol w:w="170"/>
        <w:gridCol w:w="1307"/>
        <w:gridCol w:w="185"/>
        <w:gridCol w:w="90"/>
        <w:gridCol w:w="170"/>
        <w:gridCol w:w="1122"/>
        <w:gridCol w:w="185"/>
        <w:gridCol w:w="90"/>
        <w:gridCol w:w="170"/>
        <w:gridCol w:w="980"/>
        <w:gridCol w:w="185"/>
        <w:gridCol w:w="90"/>
        <w:gridCol w:w="170"/>
        <w:gridCol w:w="590"/>
        <w:gridCol w:w="232"/>
      </w:tblGrid>
      <w:tr>
        <w:trPr/>
        <w:tc>
          <w:tcPr>
            <w:tcW w:w="22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279"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center"/>
              <w:rPr>
                <w:b/>
              </w:rPr>
            </w:pPr>
            <w:r>
              <w:rPr>
                <w:b/>
              </w:rPr>
              <w:t>Employee Severance</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center"/>
              <w:rPr>
                <w:b/>
              </w:rPr>
            </w:pPr>
            <w:r>
              <w:rPr>
                <w:b/>
              </w:rPr>
              <w:t>Transaction</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center"/>
              <w:rPr>
                <w:b/>
              </w:rPr>
            </w:pPr>
            <w:r>
              <w:rPr>
                <w:b/>
              </w:rPr>
              <w:t xml:space="preserve">Non-Cash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center"/>
              <w:rPr>
                <w:b/>
              </w:rPr>
            </w:pPr>
            <w:r>
              <w:rPr>
                <w:b/>
              </w:rPr>
              <w:t>Other</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r>
      <w:tr>
        <w:trPr/>
        <w:tc>
          <w:tcPr>
            <w:tcW w:w="2279"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45" w:type="dxa"/>
            <w:tcBorders>
              <w:bottom w:val="single" w:sz="2" w:space="0" w:color="000000"/>
            </w:tcBorders>
            <w:tcMar>
              <w:bottom w:w="28" w:type="dxa"/>
            </w:tcMar>
            <w:vAlign w:val="center"/>
          </w:tcPr>
          <w:p>
            <w:pPr>
              <w:pStyle w:val="TableContents"/>
              <w:bidi w:val="0"/>
              <w:spacing w:before="0" w:after="283"/>
              <w:jc w:val="center"/>
              <w:rPr>
                <w:b/>
              </w:rPr>
            </w:pPr>
            <w:r>
              <w:rPr>
                <w:b/>
              </w:rPr>
              <w:t>and Benefits (a)</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7" w:type="dxa"/>
            <w:tcBorders>
              <w:bottom w:val="single" w:sz="2" w:space="0" w:color="000000"/>
            </w:tcBorders>
            <w:tcMar>
              <w:bottom w:w="28" w:type="dxa"/>
            </w:tcMar>
            <w:vAlign w:val="center"/>
          </w:tcPr>
          <w:p>
            <w:pPr>
              <w:pStyle w:val="TableContents"/>
              <w:bidi w:val="0"/>
              <w:spacing w:before="0" w:after="283"/>
              <w:jc w:val="center"/>
              <w:rPr>
                <w:b/>
              </w:rPr>
            </w:pPr>
            <w:r>
              <w:rPr>
                <w:b/>
              </w:rPr>
              <w:t>Activities (b)</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2" w:type="dxa"/>
            <w:tcBorders>
              <w:bottom w:val="single" w:sz="2" w:space="0" w:color="000000"/>
            </w:tcBorders>
            <w:tcMar>
              <w:bottom w:w="28" w:type="dxa"/>
            </w:tcMar>
            <w:vAlign w:val="center"/>
          </w:tcPr>
          <w:p>
            <w:pPr>
              <w:pStyle w:val="TableContents"/>
              <w:bidi w:val="0"/>
              <w:spacing w:before="0" w:after="283"/>
              <w:jc w:val="center"/>
              <w:rPr>
                <w:b/>
              </w:rPr>
            </w:pPr>
            <w:r>
              <w:rPr>
                <w:b/>
              </w:rPr>
              <w:t>Charges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80" w:type="dxa"/>
            <w:tcBorders>
              <w:bottom w:val="single" w:sz="2" w:space="0" w:color="000000"/>
            </w:tcBorders>
            <w:tcMar>
              <w:bottom w:w="28" w:type="dxa"/>
            </w:tcMar>
            <w:vAlign w:val="center"/>
          </w:tcPr>
          <w:p>
            <w:pPr>
              <w:pStyle w:val="TableContents"/>
              <w:bidi w:val="0"/>
              <w:spacing w:before="0" w:after="283"/>
              <w:jc w:val="center"/>
              <w:rPr>
                <w:b/>
              </w:rPr>
            </w:pPr>
            <w:r>
              <w:rPr>
                <w:b/>
              </w:rPr>
              <w:t>Activities</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232"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79" w:type="dxa"/>
            <w:tcBorders/>
            <w:vAlign w:val="center"/>
          </w:tcPr>
          <w:p>
            <w:pPr>
              <w:pStyle w:val="TableContents"/>
              <w:bidi w:val="0"/>
              <w:spacing w:before="0" w:after="283"/>
              <w:jc w:val="left"/>
              <w:rPr/>
            </w:pPr>
            <w:r>
              <w:rPr/>
              <w:t>Balance at September 28, 2024</w:t>
            </w:r>
          </w:p>
        </w:tc>
        <w:tc>
          <w:tcPr>
            <w:tcW w:w="170" w:type="dxa"/>
            <w:tcBorders/>
            <w:vAlign w:val="center"/>
          </w:tcPr>
          <w:p>
            <w:pPr>
              <w:pStyle w:val="TableContents"/>
              <w:bidi w:val="0"/>
              <w:spacing w:before="0" w:after="283"/>
              <w:jc w:val="left"/>
              <w:rPr/>
            </w:pPr>
            <w:r>
              <w:rPr/>
              <w:t>$</w:t>
            </w:r>
          </w:p>
        </w:tc>
        <w:tc>
          <w:tcPr>
            <w:tcW w:w="1745" w:type="dxa"/>
            <w:tcBorders/>
            <w:vAlign w:val="center"/>
          </w:tcPr>
          <w:p>
            <w:pPr>
              <w:pStyle w:val="TableContents"/>
              <w:bidi w:val="0"/>
              <w:spacing w:before="0" w:after="283"/>
              <w:jc w:val="right"/>
              <w:rPr/>
            </w:pPr>
            <w:r>
              <w:rPr/>
              <w:t>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0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22"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w:t>
            </w:r>
          </w:p>
        </w:tc>
        <w:tc>
          <w:tcPr>
            <w:tcW w:w="232" w:type="dxa"/>
            <w:tcBorders/>
            <w:vAlign w:val="center"/>
          </w:tcPr>
          <w:p>
            <w:pPr>
              <w:pStyle w:val="TableContents"/>
              <w:bidi w:val="0"/>
              <w:spacing w:before="0" w:after="283"/>
              <w:jc w:val="left"/>
              <w:rPr/>
            </w:pPr>
            <w:r>
              <w:rPr/>
              <w:t> </w:t>
            </w:r>
          </w:p>
        </w:tc>
      </w:tr>
      <w:tr>
        <w:trPr/>
        <w:tc>
          <w:tcPr>
            <w:tcW w:w="2279" w:type="dxa"/>
            <w:tcBorders/>
            <w:vAlign w:val="center"/>
          </w:tcPr>
          <w:p>
            <w:pPr>
              <w:pStyle w:val="TableContents"/>
              <w:bidi w:val="0"/>
              <w:spacing w:before="0" w:after="283"/>
              <w:jc w:val="left"/>
              <w:rPr/>
            </w:pPr>
            <w:r>
              <w:rPr/>
              <w:t>Charges</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14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27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69</w:t>
            </w:r>
          </w:p>
        </w:tc>
        <w:tc>
          <w:tcPr>
            <w:tcW w:w="232" w:type="dxa"/>
            <w:tcBorders/>
            <w:vAlign w:val="center"/>
          </w:tcPr>
          <w:p>
            <w:pPr>
              <w:pStyle w:val="TableContents"/>
              <w:bidi w:val="0"/>
              <w:spacing w:before="0" w:after="283"/>
              <w:jc w:val="left"/>
              <w:rPr/>
            </w:pPr>
            <w:r>
              <w:rPr/>
              <w:t> </w:t>
            </w:r>
          </w:p>
        </w:tc>
      </w:tr>
      <w:tr>
        <w:trPr/>
        <w:tc>
          <w:tcPr>
            <w:tcW w:w="2279" w:type="dxa"/>
            <w:tcBorders/>
            <w:vAlign w:val="center"/>
          </w:tcPr>
          <w:p>
            <w:pPr>
              <w:pStyle w:val="TableContents"/>
              <w:bidi w:val="0"/>
              <w:spacing w:before="0" w:after="283"/>
              <w:jc w:val="left"/>
              <w:rPr/>
            </w:pPr>
            <w:r>
              <w:rPr/>
              <w:t>Non-cash items</w:t>
            </w:r>
          </w:p>
        </w:tc>
        <w:tc>
          <w:tcPr>
            <w:tcW w:w="17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07"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22"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(5</w:t>
            </w:r>
          </w:p>
        </w:tc>
        <w:tc>
          <w:tcPr>
            <w:tcW w:w="232" w:type="dxa"/>
            <w:tcBorders/>
            <w:vAlign w:val="center"/>
          </w:tcPr>
          <w:p>
            <w:pPr>
              <w:pStyle w:val="TableContents"/>
              <w:bidi w:val="0"/>
              <w:spacing w:before="0" w:after="283"/>
              <w:jc w:val="left"/>
              <w:rPr/>
            </w:pPr>
            <w:r>
              <w:rPr/>
              <w:t>) </w:t>
            </w:r>
          </w:p>
        </w:tc>
      </w:tr>
      <w:tr>
        <w:trPr/>
        <w:tc>
          <w:tcPr>
            <w:tcW w:w="2279" w:type="dxa"/>
            <w:tcBorders/>
            <w:vAlign w:val="center"/>
          </w:tcPr>
          <w:p>
            <w:pPr>
              <w:pStyle w:val="TableContents"/>
              <w:bidi w:val="0"/>
              <w:spacing w:before="0" w:after="283"/>
              <w:jc w:val="left"/>
              <w:rPr/>
            </w:pPr>
            <w:r>
              <w:rPr/>
              <w:t>Cash payments</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745" w:type="dxa"/>
            <w:tcBorders>
              <w:bottom w:val="single" w:sz="2" w:space="0" w:color="000000"/>
            </w:tcBorders>
            <w:tcMar>
              <w:bottom w:w="28" w:type="dxa"/>
            </w:tcMar>
            <w:vAlign w:val="center"/>
          </w:tcPr>
          <w:p>
            <w:pPr>
              <w:pStyle w:val="TableContents"/>
              <w:bidi w:val="0"/>
              <w:spacing w:before="0" w:after="283"/>
              <w:jc w:val="right"/>
              <w:rPr/>
            </w:pPr>
            <w:r>
              <w:rPr/>
              <w:t>(16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07" w:type="dxa"/>
            <w:tcBorders>
              <w:bottom w:val="single" w:sz="2" w:space="0" w:color="000000"/>
            </w:tcBorders>
            <w:tcMar>
              <w:bottom w:w="28" w:type="dxa"/>
            </w:tcMar>
            <w:vAlign w:val="center"/>
          </w:tcPr>
          <w:p>
            <w:pPr>
              <w:pStyle w:val="TableContents"/>
              <w:bidi w:val="0"/>
              <w:spacing w:before="0" w:after="283"/>
              <w:jc w:val="right"/>
              <w:rPr/>
            </w:pPr>
            <w:r>
              <w:rPr/>
              <w:t>(27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122" w:type="dxa"/>
            <w:tcBorders>
              <w:bottom w:val="single" w:sz="2" w:space="0" w:color="000000"/>
            </w:tcBorders>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pPr>
            <w:r>
              <w:rPr/>
              <w:t>(23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(66</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79" w:type="dxa"/>
            <w:tcBorders/>
            <w:vAlign w:val="center"/>
          </w:tcPr>
          <w:p>
            <w:pPr>
              <w:pStyle w:val="TableContents"/>
              <w:bidi w:val="0"/>
              <w:spacing w:before="0" w:after="283"/>
              <w:jc w:val="left"/>
              <w:rPr/>
            </w:pPr>
            <w:r>
              <w:rPr/>
              <w:t>Balance at June 28, 2025</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745" w:type="dxa"/>
            <w:tcBorders>
              <w:bottom w:val="double" w:sz="6" w:space="0" w:color="000000"/>
            </w:tcBorders>
            <w:tcMar>
              <w:bottom w:w="28" w:type="dxa"/>
            </w:tcMar>
            <w:vAlign w:val="center"/>
          </w:tcPr>
          <w:p>
            <w:pPr>
              <w:pStyle w:val="TableContents"/>
              <w:bidi w:val="0"/>
              <w:spacing w:before="0" w:after="283"/>
              <w:jc w:val="right"/>
              <w:rPr>
                <w:b/>
              </w:rPr>
            </w:pPr>
            <w:r>
              <w:rPr>
                <w:b/>
              </w:rPr>
              <w:t>6</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307"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1122"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980" w:type="dxa"/>
            <w:tcBorders>
              <w:bottom w:val="double" w:sz="6" w:space="0" w:color="000000"/>
            </w:tcBorders>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b/>
              </w:rPr>
            </w:pPr>
            <w:r>
              <w:rPr>
                <w:b/>
              </w:rPr>
              <w:t>$</w:t>
            </w:r>
          </w:p>
        </w:tc>
        <w:tc>
          <w:tcPr>
            <w:tcW w:w="590" w:type="dxa"/>
            <w:tcBorders>
              <w:bottom w:val="double" w:sz="6" w:space="0" w:color="000000"/>
            </w:tcBorders>
            <w:tcMar>
              <w:bottom w:w="28" w:type="dxa"/>
            </w:tcMar>
            <w:vAlign w:val="center"/>
          </w:tcPr>
          <w:p>
            <w:pPr>
              <w:pStyle w:val="TableContents"/>
              <w:bidi w:val="0"/>
              <w:spacing w:before="0" w:after="283"/>
              <w:jc w:val="right"/>
              <w:rPr>
                <w:b/>
              </w:rPr>
            </w:pPr>
            <w:r>
              <w:rPr>
                <w:b/>
              </w:rPr>
              <w:t>6</w:t>
            </w:r>
          </w:p>
        </w:tc>
        <w:tc>
          <w:tcPr>
            <w:tcW w:w="232"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uto" w:line="324" w:before="0" w:after="0"/>
        <w:ind w:left="0" w:right="0" w:firstLine="720"/>
        <w:jc w:val="left"/>
        <w:rPr>
          <w:rFonts w:ascii="Times New Roman" w:hAnsi="Times New Roman"/>
          <w:sz w:val="18"/>
        </w:rPr>
      </w:pPr>
      <w:r>
        <w:rPr>
          <w:rFonts w:ascii="Times New Roman" w:hAnsi="Times New Roman"/>
          <w:i/>
          <w:color w:val="000000"/>
          <w:sz w:val="10"/>
        </w:rPr>
        <w:t>(a)</w:t>
      </w:r>
      <w:r>
        <w:rPr>
          <w:rFonts w:ascii="Times New Roman" w:hAnsi="Times New Roman"/>
          <w:color w:val="000000"/>
          <w:sz w:val="18"/>
        </w:rPr>
        <w:t xml:space="preserve">  </w:t>
      </w:r>
      <w:r>
        <w:rPr>
          <w:rFonts w:ascii="Times New Roman" w:hAnsi="Times New Roman"/>
          <w:color w:val="000000"/>
          <w:sz w:val="16"/>
        </w:rPr>
        <w:t xml:space="preserve">Restructuring activities </w:t>
      </w:r>
    </w:p>
    <w:p>
      <w:pPr>
        <w:pStyle w:val="TextBody"/>
        <w:bidi w:val="0"/>
        <w:spacing w:lineRule="auto" w:line="324" w:before="0" w:after="0"/>
        <w:ind w:left="0" w:right="0" w:firstLine="720"/>
        <w:jc w:val="left"/>
        <w:rPr>
          <w:rFonts w:ascii="Times New Roman" w:hAnsi="Times New Roman"/>
          <w:sz w:val="18"/>
        </w:rPr>
      </w:pPr>
      <w:r>
        <w:rPr>
          <w:rFonts w:ascii="Times New Roman" w:hAnsi="Times New Roman"/>
          <w:i/>
          <w:color w:val="000000"/>
          <w:sz w:val="10"/>
        </w:rPr>
        <w:t>(b)</w:t>
      </w:r>
      <w:r>
        <w:rPr>
          <w:rFonts w:ascii="Times New Roman" w:hAnsi="Times New Roman"/>
          <w:color w:val="000000"/>
          <w:sz w:val="18"/>
        </w:rPr>
        <w:t xml:space="preserve">  </w:t>
      </w:r>
      <w:r>
        <w:rPr>
          <w:rFonts w:ascii="Times New Roman" w:hAnsi="Times New Roman"/>
          <w:color w:val="000000"/>
          <w:sz w:val="16"/>
        </w:rPr>
        <w:t xml:space="preserve">Includes $19 million of Transaction related compensation </w:t>
      </w:r>
    </w:p>
    <w:p>
      <w:pPr>
        <w:pStyle w:val="TextBody"/>
        <w:bidi w:val="0"/>
        <w:spacing w:before="0" w:after="0"/>
        <w:ind w:left="547" w:right="0" w:hanging="0"/>
        <w:jc w:val="left"/>
        <w:rPr/>
      </w:pPr>
      <w:r>
        <w:rPr/>
        <w:t xml:space="preserve">  </w:t>
      </w:r>
    </w:p>
    <w:p>
      <w:pPr>
        <w:pStyle w:val="TextBody"/>
        <w:bidi w:val="0"/>
        <w:spacing w:before="0" w:after="0"/>
        <w:ind w:left="0" w:right="0" w:hanging="547"/>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5.         Leases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 leases certain manufacturing facilities, warehouses, office space, manufacturing equipment, office equipment, and automobiles.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Supplemental lease information is as follows:</w:t>
      </w:r>
      <w:r>
        <w:rPr>
          <w:rFonts w:ascii="Times New Roman" w:hAnsi="Times New Roman"/>
          <w:sz w:val="18"/>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3234"/>
        <w:gridCol w:w="3130"/>
        <w:gridCol w:w="170"/>
        <w:gridCol w:w="1337"/>
        <w:gridCol w:w="90"/>
        <w:gridCol w:w="90"/>
        <w:gridCol w:w="170"/>
        <w:gridCol w:w="1847"/>
        <w:gridCol w:w="137"/>
      </w:tblGrid>
      <w:tr>
        <w:trPr/>
        <w:tc>
          <w:tcPr>
            <w:tcW w:w="3234" w:type="dxa"/>
            <w:tcBorders/>
            <w:vAlign w:val="center"/>
          </w:tcPr>
          <w:p>
            <w:pPr>
              <w:pStyle w:val="TableContents"/>
              <w:bidi w:val="0"/>
              <w:spacing w:before="0" w:after="283"/>
              <w:jc w:val="left"/>
              <w:rPr>
                <w:sz w:val="4"/>
                <w:szCs w:val="4"/>
              </w:rPr>
            </w:pPr>
            <w:r>
              <w:rPr>
                <w:sz w:val="4"/>
                <w:szCs w:val="4"/>
              </w:rPr>
            </w:r>
          </w:p>
        </w:tc>
        <w:tc>
          <w:tcPr>
            <w:tcW w:w="31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3234" w:type="dxa"/>
            <w:tcBorders/>
            <w:vAlign w:val="center"/>
          </w:tcPr>
          <w:p>
            <w:pPr>
              <w:pStyle w:val="TableContents"/>
              <w:bidi w:val="0"/>
              <w:spacing w:before="0" w:after="283"/>
              <w:jc w:val="left"/>
              <w:rPr>
                <w:b/>
              </w:rPr>
            </w:pPr>
            <w:r>
              <w:rPr>
                <w:b/>
              </w:rPr>
              <w:t>Leases</w:t>
            </w:r>
          </w:p>
        </w:tc>
        <w:tc>
          <w:tcPr>
            <w:tcW w:w="3130" w:type="dxa"/>
            <w:tcBorders/>
            <w:vAlign w:val="center"/>
          </w:tcPr>
          <w:p>
            <w:pPr>
              <w:pStyle w:val="TableContents"/>
              <w:bidi w:val="0"/>
              <w:spacing w:before="0" w:after="283"/>
              <w:jc w:val="left"/>
              <w:rPr>
                <w:b/>
              </w:rPr>
            </w:pPr>
            <w:r>
              <w:rPr>
                <w:b/>
              </w:rPr>
              <w:t>Classification</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37"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47" w:type="dxa"/>
            <w:tcBorders>
              <w:bottom w:val="single" w:sz="2" w:space="0" w:color="000000"/>
            </w:tcBorders>
            <w:tcMar>
              <w:bottom w:w="28" w:type="dxa"/>
            </w:tcMar>
            <w:vAlign w:val="center"/>
          </w:tcPr>
          <w:p>
            <w:pPr>
              <w:pStyle w:val="TableContents"/>
              <w:bidi w:val="0"/>
              <w:spacing w:before="0" w:after="283"/>
              <w:jc w:val="center"/>
              <w:rPr/>
            </w:pPr>
            <w:r>
              <w:rPr/>
              <w:t>September 28, 2024</w:t>
            </w:r>
          </w:p>
        </w:tc>
        <w:tc>
          <w:tcPr>
            <w:tcW w:w="137"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34" w:type="dxa"/>
            <w:tcBorders/>
            <w:vAlign w:val="center"/>
          </w:tcPr>
          <w:p>
            <w:pPr>
              <w:pStyle w:val="TableContents"/>
              <w:bidi w:val="0"/>
              <w:spacing w:before="0" w:after="283"/>
              <w:jc w:val="left"/>
              <w:rPr/>
            </w:pPr>
            <w:r>
              <w:rPr/>
              <w:t>Operating leases:</w:t>
            </w:r>
          </w:p>
        </w:tc>
        <w:tc>
          <w:tcPr>
            <w:tcW w:w="31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234" w:type="dxa"/>
            <w:tcBorders/>
            <w:vAlign w:val="center"/>
          </w:tcPr>
          <w:p>
            <w:pPr>
              <w:pStyle w:val="TableContents"/>
              <w:bidi w:val="0"/>
              <w:spacing w:before="0" w:after="283"/>
              <w:jc w:val="left"/>
              <w:rPr/>
            </w:pPr>
            <w:r>
              <w:rPr/>
              <w:t>Operating lease right-of-use assets</w:t>
            </w:r>
          </w:p>
        </w:tc>
        <w:tc>
          <w:tcPr>
            <w:tcW w:w="3130" w:type="dxa"/>
            <w:tcBorders/>
            <w:vAlign w:val="center"/>
          </w:tcPr>
          <w:p>
            <w:pPr>
              <w:pStyle w:val="TableContents"/>
              <w:bidi w:val="0"/>
              <w:spacing w:before="0" w:after="283"/>
              <w:jc w:val="left"/>
              <w:rPr/>
            </w:pPr>
            <w:r>
              <w:rPr/>
              <w:t>Right-of-use asset</w:t>
            </w:r>
          </w:p>
        </w:tc>
        <w:tc>
          <w:tcPr>
            <w:tcW w:w="170" w:type="dxa"/>
            <w:tcBorders/>
            <w:vAlign w:val="center"/>
          </w:tcPr>
          <w:p>
            <w:pPr>
              <w:pStyle w:val="TableContents"/>
              <w:bidi w:val="0"/>
              <w:spacing w:before="0" w:after="283"/>
              <w:jc w:val="left"/>
              <w:rPr/>
            </w:pPr>
            <w:r>
              <w:rPr/>
              <w:t>$</w:t>
            </w:r>
          </w:p>
        </w:tc>
        <w:tc>
          <w:tcPr>
            <w:tcW w:w="1337" w:type="dxa"/>
            <w:tcBorders/>
            <w:vAlign w:val="center"/>
          </w:tcPr>
          <w:p>
            <w:pPr>
              <w:pStyle w:val="TableContents"/>
              <w:bidi w:val="0"/>
              <w:spacing w:before="0" w:after="283"/>
              <w:jc w:val="right"/>
              <w:rPr>
                <w:b/>
              </w:rPr>
            </w:pPr>
            <w:r>
              <w:rPr>
                <w:b/>
              </w:rPr>
              <w:t>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47" w:type="dxa"/>
            <w:tcBorders/>
            <w:vAlign w:val="center"/>
          </w:tcPr>
          <w:p>
            <w:pPr>
              <w:pStyle w:val="TableContents"/>
              <w:bidi w:val="0"/>
              <w:spacing w:before="0" w:after="283"/>
              <w:jc w:val="right"/>
              <w:rPr/>
            </w:pPr>
            <w:r>
              <w:rPr/>
              <w:t>49</w:t>
            </w:r>
          </w:p>
        </w:tc>
        <w:tc>
          <w:tcPr>
            <w:tcW w:w="137" w:type="dxa"/>
            <w:tcBorders/>
            <w:vAlign w:val="center"/>
          </w:tcPr>
          <w:p>
            <w:pPr>
              <w:pStyle w:val="TableContents"/>
              <w:bidi w:val="0"/>
              <w:spacing w:before="0" w:after="283"/>
              <w:jc w:val="left"/>
              <w:rPr/>
            </w:pPr>
            <w:r>
              <w:rPr/>
              <w:t> </w:t>
            </w:r>
          </w:p>
        </w:tc>
      </w:tr>
      <w:tr>
        <w:trPr/>
        <w:tc>
          <w:tcPr>
            <w:tcW w:w="3234" w:type="dxa"/>
            <w:tcBorders/>
            <w:vAlign w:val="center"/>
          </w:tcPr>
          <w:p>
            <w:pPr>
              <w:pStyle w:val="TableContents"/>
              <w:bidi w:val="0"/>
              <w:spacing w:before="0" w:after="283"/>
              <w:jc w:val="left"/>
              <w:rPr/>
            </w:pPr>
            <w:r>
              <w:rPr/>
              <w:t>Current operating lease liabilities</w:t>
            </w:r>
          </w:p>
        </w:tc>
        <w:tc>
          <w:tcPr>
            <w:tcW w:w="3130" w:type="dxa"/>
            <w:tcBorders/>
            <w:vAlign w:val="center"/>
          </w:tcPr>
          <w:p>
            <w:pPr>
              <w:pStyle w:val="TableContents"/>
              <w:bidi w:val="0"/>
              <w:spacing w:before="0" w:after="283"/>
              <w:jc w:val="left"/>
              <w:rPr/>
            </w:pPr>
            <w:r>
              <w:rPr/>
              <w:t>Accrued expenses</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right"/>
              <w:rPr/>
            </w:pPr>
            <w:r>
              <w:rPr/>
              <w:t>11</w:t>
            </w:r>
          </w:p>
        </w:tc>
        <w:tc>
          <w:tcPr>
            <w:tcW w:w="137" w:type="dxa"/>
            <w:tcBorders/>
            <w:vAlign w:val="center"/>
          </w:tcPr>
          <w:p>
            <w:pPr>
              <w:pStyle w:val="TableContents"/>
              <w:bidi w:val="0"/>
              <w:spacing w:before="0" w:after="283"/>
              <w:jc w:val="left"/>
              <w:rPr/>
            </w:pPr>
            <w:r>
              <w:rPr/>
              <w:t> </w:t>
            </w:r>
          </w:p>
        </w:tc>
      </w:tr>
      <w:tr>
        <w:trPr/>
        <w:tc>
          <w:tcPr>
            <w:tcW w:w="3234" w:type="dxa"/>
            <w:tcBorders/>
            <w:vAlign w:val="center"/>
          </w:tcPr>
          <w:p>
            <w:pPr>
              <w:pStyle w:val="TableContents"/>
              <w:bidi w:val="0"/>
              <w:spacing w:before="0" w:after="283"/>
              <w:jc w:val="left"/>
              <w:rPr/>
            </w:pPr>
            <w:r>
              <w:rPr/>
              <w:t>Noncurrent operating lease liabilities</w:t>
            </w:r>
          </w:p>
        </w:tc>
        <w:tc>
          <w:tcPr>
            <w:tcW w:w="3130" w:type="dxa"/>
            <w:tcBorders/>
            <w:vAlign w:val="center"/>
          </w:tcPr>
          <w:p>
            <w:pPr>
              <w:pStyle w:val="TableContents"/>
              <w:bidi w:val="0"/>
              <w:spacing w:before="0" w:after="283"/>
              <w:jc w:val="left"/>
              <w:rPr/>
            </w:pPr>
            <w:r>
              <w:rPr/>
              <w:t>Operating lease liability</w:t>
            </w:r>
          </w:p>
        </w:tc>
        <w:tc>
          <w:tcPr>
            <w:tcW w:w="170" w:type="dxa"/>
            <w:tcBorders/>
            <w:vAlign w:val="center"/>
          </w:tcPr>
          <w:p>
            <w:pPr>
              <w:pStyle w:val="TableContents"/>
              <w:bidi w:val="0"/>
              <w:spacing w:before="0" w:after="283"/>
              <w:jc w:val="left"/>
              <w:rPr/>
            </w:pPr>
            <w:r>
              <w:rPr/>
              <w:t> </w:t>
            </w:r>
          </w:p>
        </w:tc>
        <w:tc>
          <w:tcPr>
            <w:tcW w:w="1337" w:type="dxa"/>
            <w:tcBorders/>
            <w:vAlign w:val="center"/>
          </w:tcPr>
          <w:p>
            <w:pPr>
              <w:pStyle w:val="TableContents"/>
              <w:bidi w:val="0"/>
              <w:spacing w:before="0" w:after="283"/>
              <w:jc w:val="right"/>
              <w:rPr>
                <w:b/>
              </w:rPr>
            </w:pPr>
            <w:r>
              <w:rPr>
                <w:b/>
              </w:rPr>
              <w:t>48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47" w:type="dxa"/>
            <w:tcBorders/>
            <w:vAlign w:val="center"/>
          </w:tcPr>
          <w:p>
            <w:pPr>
              <w:pStyle w:val="TableContents"/>
              <w:bidi w:val="0"/>
              <w:spacing w:before="0" w:after="283"/>
              <w:jc w:val="right"/>
              <w:rPr/>
            </w:pPr>
            <w:r>
              <w:rPr/>
              <w:t>39</w:t>
            </w:r>
          </w:p>
        </w:tc>
        <w:tc>
          <w:tcPr>
            <w:tcW w:w="137" w:type="dxa"/>
            <w:tcBorders/>
            <w:vAlign w:val="center"/>
          </w:tcPr>
          <w:p>
            <w:pPr>
              <w:pStyle w:val="TableContents"/>
              <w:bidi w:val="0"/>
              <w:spacing w:before="0" w:after="283"/>
              <w:jc w:val="left"/>
              <w:rPr/>
            </w:pPr>
            <w:r>
              <w:rPr/>
              <w:t> </w:t>
            </w:r>
          </w:p>
        </w:tc>
      </w:tr>
      <w:tr>
        <w:trPr/>
        <w:tc>
          <w:tcPr>
            <w:tcW w:w="3234" w:type="dxa"/>
            <w:tcBorders/>
            <w:vAlign w:val="center"/>
          </w:tcPr>
          <w:p>
            <w:pPr>
              <w:pStyle w:val="TableContents"/>
              <w:bidi w:val="0"/>
              <w:spacing w:before="0" w:after="283"/>
              <w:jc w:val="left"/>
              <w:rPr/>
            </w:pPr>
            <w:r>
              <w:rPr/>
              <w:t> </w:t>
            </w:r>
          </w:p>
        </w:tc>
        <w:tc>
          <w:tcPr>
            <w:tcW w:w="31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234" w:type="dxa"/>
            <w:tcBorders/>
            <w:vAlign w:val="center"/>
          </w:tcPr>
          <w:p>
            <w:pPr>
              <w:pStyle w:val="TableContents"/>
              <w:bidi w:val="0"/>
              <w:spacing w:before="0" w:after="283"/>
              <w:jc w:val="left"/>
              <w:rPr/>
            </w:pPr>
            <w:r>
              <w:rPr/>
              <w:t>Finance leases:</w:t>
            </w:r>
          </w:p>
        </w:tc>
        <w:tc>
          <w:tcPr>
            <w:tcW w:w="313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r>
      <w:tr>
        <w:trPr/>
        <w:tc>
          <w:tcPr>
            <w:tcW w:w="3234" w:type="dxa"/>
            <w:tcBorders/>
            <w:vAlign w:val="center"/>
          </w:tcPr>
          <w:p>
            <w:pPr>
              <w:pStyle w:val="TableContents"/>
              <w:bidi w:val="0"/>
              <w:spacing w:before="0" w:after="283"/>
              <w:jc w:val="left"/>
              <w:rPr/>
            </w:pPr>
            <w:r>
              <w:rPr/>
              <w:t>Finance lease right-of-use assets</w:t>
            </w:r>
          </w:p>
        </w:tc>
        <w:tc>
          <w:tcPr>
            <w:tcW w:w="3130" w:type="dxa"/>
            <w:tcBorders/>
            <w:vAlign w:val="center"/>
          </w:tcPr>
          <w:p>
            <w:pPr>
              <w:pStyle w:val="TableContents"/>
              <w:bidi w:val="0"/>
              <w:spacing w:before="0" w:after="283"/>
              <w:jc w:val="left"/>
              <w:rPr/>
            </w:pPr>
            <w:r>
              <w:rPr/>
              <w:t>Property, plant, and equipment, net</w:t>
            </w:r>
          </w:p>
        </w:tc>
        <w:tc>
          <w:tcPr>
            <w:tcW w:w="170" w:type="dxa"/>
            <w:tcBorders/>
            <w:vAlign w:val="center"/>
          </w:tcPr>
          <w:p>
            <w:pPr>
              <w:pStyle w:val="TableContents"/>
              <w:bidi w:val="0"/>
              <w:spacing w:before="0" w:after="283"/>
              <w:jc w:val="left"/>
              <w:rPr/>
            </w:pPr>
            <w:r>
              <w:rPr/>
              <w:t>$</w:t>
            </w:r>
          </w:p>
        </w:tc>
        <w:tc>
          <w:tcPr>
            <w:tcW w:w="133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47" w:type="dxa"/>
            <w:tcBorders/>
            <w:vAlign w:val="center"/>
          </w:tcPr>
          <w:p>
            <w:pPr>
              <w:pStyle w:val="TableContents"/>
              <w:bidi w:val="0"/>
              <w:spacing w:before="0" w:after="283"/>
              <w:jc w:val="right"/>
              <w:rPr/>
            </w:pPr>
            <w:r>
              <w:rPr/>
              <w:t>6</w:t>
            </w:r>
          </w:p>
        </w:tc>
        <w:tc>
          <w:tcPr>
            <w:tcW w:w="137"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- 8 -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6.         Long-Term Debt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Long-term debt consists of the following:</w:t>
      </w:r>
      <w:r>
        <w:rPr>
          <w:rFonts w:ascii="Times New Roman" w:hAnsi="Times New Roman"/>
          <w:sz w:val="18"/>
        </w:rPr>
        <w:t xml:space="preserve"> </w:t>
      </w:r>
    </w:p>
    <w:p>
      <w:pPr>
        <w:pStyle w:val="TextBody"/>
        <w:bidi w:val="0"/>
        <w:spacing w:before="0" w:after="0"/>
        <w:jc w:val="left"/>
        <w:rPr/>
      </w:pPr>
      <w:r>
        <w:rPr/>
        <w:t> </w:t>
      </w:r>
    </w:p>
    <w:tbl>
      <w:tblPr>
        <w:tblW w:w="9875" w:type="dxa"/>
        <w:jc w:val="left"/>
        <w:tblInd w:w="0" w:type="dxa"/>
        <w:tblLayout w:type="fixed"/>
        <w:tblCellMar>
          <w:top w:w="0" w:type="dxa"/>
          <w:left w:w="0" w:type="dxa"/>
          <w:bottom w:w="0" w:type="dxa"/>
          <w:right w:w="0" w:type="dxa"/>
        </w:tblCellMar>
      </w:tblPr>
      <w:tblGrid>
        <w:gridCol w:w="4040"/>
        <w:gridCol w:w="1595"/>
        <w:gridCol w:w="170"/>
        <w:gridCol w:w="1445"/>
        <w:gridCol w:w="185"/>
        <w:gridCol w:w="90"/>
        <w:gridCol w:w="170"/>
        <w:gridCol w:w="2045"/>
        <w:gridCol w:w="135"/>
      </w:tblGrid>
      <w:tr>
        <w:trPr/>
        <w:tc>
          <w:tcPr>
            <w:tcW w:w="4040"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283"/>
              <w:jc w:val="left"/>
              <w:rPr>
                <w:b/>
              </w:rPr>
            </w:pPr>
            <w:r>
              <w:rPr>
                <w:b/>
              </w:rPr>
              <w:t>Facility</w:t>
            </w:r>
          </w:p>
        </w:tc>
        <w:tc>
          <w:tcPr>
            <w:tcW w:w="1595" w:type="dxa"/>
            <w:tcBorders/>
            <w:vAlign w:val="center"/>
          </w:tcPr>
          <w:p>
            <w:pPr>
              <w:pStyle w:val="TableContents"/>
              <w:bidi w:val="0"/>
              <w:spacing w:before="0" w:after="283"/>
              <w:jc w:val="left"/>
              <w:rPr>
                <w:b/>
              </w:rPr>
            </w:pPr>
            <w:r>
              <w:rPr>
                <w:b/>
              </w:rPr>
              <w:t>Maturity Date</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center"/>
              <w:rPr>
                <w:b/>
              </w:rPr>
            </w:pPr>
            <w:r>
              <w:rPr>
                <w:b/>
              </w:rPr>
              <w:t>June 28, 2025</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center"/>
              <w:rPr>
                <w:b/>
              </w:rPr>
            </w:pPr>
            <w:r>
              <w:rPr>
                <w:b/>
              </w:rPr>
              <w:t>September 28, 2024</w:t>
            </w:r>
          </w:p>
        </w:tc>
        <w:tc>
          <w:tcPr>
            <w:tcW w:w="135" w:type="dxa"/>
            <w:tcBorders/>
            <w:vAlign w:val="center"/>
          </w:tcPr>
          <w:p>
            <w:pPr>
              <w:pStyle w:val="TableContents"/>
              <w:bidi w:val="0"/>
              <w:spacing w:before="0" w:after="283"/>
              <w:jc w:val="left"/>
              <w:rPr>
                <w:sz w:val="4"/>
                <w:szCs w:val="4"/>
              </w:rPr>
            </w:pPr>
            <w:r>
              <w:rPr>
                <w:sz w:val="4"/>
                <w:szCs w:val="4"/>
              </w:rPr>
            </w:r>
          </w:p>
        </w:tc>
      </w:tr>
      <w:tr>
        <w:trPr/>
        <w:tc>
          <w:tcPr>
            <w:tcW w:w="4040" w:type="dxa"/>
            <w:tcBorders/>
            <w:vAlign w:val="center"/>
          </w:tcPr>
          <w:p>
            <w:pPr>
              <w:pStyle w:val="TableContents"/>
              <w:bidi w:val="0"/>
              <w:spacing w:before="0" w:after="283"/>
              <w:jc w:val="left"/>
              <w:rPr/>
            </w:pPr>
            <w:r>
              <w:rPr/>
              <w:t>Revolving Credit Facility</w:t>
            </w:r>
          </w:p>
        </w:tc>
        <w:tc>
          <w:tcPr>
            <w:tcW w:w="1595" w:type="dxa"/>
            <w:tcBorders/>
            <w:vAlign w:val="center"/>
          </w:tcPr>
          <w:p>
            <w:pPr>
              <w:pStyle w:val="TableContents"/>
              <w:bidi w:val="0"/>
              <w:spacing w:before="0" w:after="0"/>
              <w:jc w:val="left"/>
              <w:rPr/>
            </w:pPr>
            <w:r>
              <w:rPr/>
              <w:t>November 2029</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04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Term Loan</w:t>
            </w:r>
          </w:p>
        </w:tc>
        <w:tc>
          <w:tcPr>
            <w:tcW w:w="1595" w:type="dxa"/>
            <w:tcBorders/>
            <w:vAlign w:val="center"/>
          </w:tcPr>
          <w:p>
            <w:pPr>
              <w:pStyle w:val="TableContents"/>
              <w:bidi w:val="0"/>
              <w:spacing w:before="0" w:after="0"/>
              <w:jc w:val="left"/>
              <w:rPr/>
            </w:pPr>
            <w:r>
              <w:rPr/>
              <w:t>November 2031</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781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7.25% First Priority Senior Secured Notes</w:t>
            </w:r>
          </w:p>
        </w:tc>
        <w:tc>
          <w:tcPr>
            <w:tcW w:w="1595" w:type="dxa"/>
            <w:tcBorders/>
            <w:vAlign w:val="center"/>
          </w:tcPr>
          <w:p>
            <w:pPr>
              <w:pStyle w:val="TableContents"/>
              <w:bidi w:val="0"/>
              <w:spacing w:before="0" w:after="0"/>
              <w:jc w:val="left"/>
              <w:rPr/>
            </w:pPr>
            <w:r>
              <w:rPr/>
              <w:t>November 2031</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800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4.75% First Priority Senior Secured Notes</w:t>
            </w:r>
          </w:p>
        </w:tc>
        <w:tc>
          <w:tcPr>
            <w:tcW w:w="1595" w:type="dxa"/>
            <w:tcBorders/>
            <w:vAlign w:val="center"/>
          </w:tcPr>
          <w:p>
            <w:pPr>
              <w:pStyle w:val="TableContents"/>
              <w:bidi w:val="0"/>
              <w:spacing w:before="0" w:after="0"/>
              <w:jc w:val="left"/>
              <w:rPr/>
            </w:pPr>
            <w:r>
              <w:rPr/>
              <w:t>October 2029</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500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Debt discounts, deferred fees and other</w:t>
            </w:r>
          </w:p>
        </w:tc>
        <w:tc>
          <w:tcPr>
            <w:tcW w:w="159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(82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045"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Total long-term debt</w:t>
            </w:r>
          </w:p>
        </w:tc>
        <w:tc>
          <w:tcPr>
            <w:tcW w:w="159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1,999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Current portion of long-term debt</w:t>
            </w:r>
          </w:p>
        </w:tc>
        <w:tc>
          <w:tcPr>
            <w:tcW w:w="159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2045"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Long-term debt, less current portion</w:t>
            </w:r>
          </w:p>
        </w:tc>
        <w:tc>
          <w:tcPr>
            <w:tcW w:w="1595"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1,991</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2045" w:type="dxa"/>
            <w:tcBorders>
              <w:bottom w:val="double" w:sz="6" w:space="0" w:color="000000"/>
            </w:tcBorders>
            <w:tcMar>
              <w:bottom w:w="28" w:type="dxa"/>
            </w:tcMar>
            <w:vAlign w:val="center"/>
          </w:tcPr>
          <w:p>
            <w:pPr>
              <w:pStyle w:val="TableContents"/>
              <w:bidi w:val="0"/>
              <w:spacing w:before="0" w:after="283"/>
              <w:jc w:val="right"/>
              <w:rPr/>
            </w:pPr>
            <w:r>
              <w:rPr/>
              <w:t>—</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As part of the Transaction, the Company consummated a $785 million Term Loan due 2031 (the “Term Loan”), an $800 million issuance of 7.25% First Priority Senior Secured Notes due 2031 (the “7.25% Notes”), and a $350 million revolving credit facility (the “Revolving Credit Facility”).  The proceeds from the Term Loan and 7.25% Notes were used to retire a portion of GLT outstanding debt and fund a cash distribution to Berry.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Despite not having financial maintenance covenants on our Term Loan and secured notes, these agreements do contain certain negative covenants.  The failure to comply with these negative covenants could restrict our ability to incur additional indebtedness, effect acquisitions, enter into certain significant business combinations, make distributions or redeem indebtedness. The current portion of long-term debt consists of quarterly principal payments on the term loan due within one year. We are in compliance with all covenants as of June 28, 2025.</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Debt discounts, deferred financing fees and the purchase price adjustment related to the retained GLT 4.75% First Priority Senior Secured Notes are presented net of Long-term debt, less the current portion on the Consolidated and Combined Balance Sheets and are amortized to Interest expense on the Consolidated and Combined Statements of Operations through maturity.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547"/>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7.         Financial Instruments and Fair Value Measurements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In the normal course of business, the Company is exposed to certain risks arising from business operations and economic factors.  The Company may use derivative financial instruments to help manage market risk and reduce the exposure to fluctuations in foreign currencies.  These financial instruments are not used for trading or other speculative purposes.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i/>
          <w:color w:val="000000"/>
          <w:sz w:val="18"/>
        </w:rPr>
      </w:pPr>
      <w:r>
        <w:rPr>
          <w:rFonts w:ascii="Times New Roman" w:hAnsi="Times New Roman"/>
          <w:i/>
          <w:color w:val="000000"/>
          <w:sz w:val="18"/>
        </w:rPr>
        <w:t xml:space="preserve">Cross-Currency Swaps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 xml:space="preserve">The Company is party to certain cross-currency swaps to hedge a portion of our foreign currency risk. </w:t>
      </w:r>
      <w:r>
        <w:rPr>
          <w:rFonts w:ascii="Times New Roman" w:hAnsi="Times New Roman"/>
          <w:sz w:val="18"/>
        </w:rPr>
        <w:t>During fiscal 2025</w:t>
      </w:r>
      <w:r>
        <w:rPr>
          <w:rFonts w:ascii="Times New Roman" w:hAnsi="Times New Roman"/>
          <w:color w:val="000000"/>
          <w:sz w:val="18"/>
        </w:rPr>
        <w:t xml:space="preserve">, the Company received net proceeds of $22 million related to the settlement of existing cross-currency rate swaps, with the offset being recorded in Accumulated other comprehensive loss. Following the settlement, the Company entered into a €250 million and a €425 million cross-currency swap, maturing November 2027 and November 2029 respectively. The swaps are designated as a hedge of the Company’s foreign currency investment in foreign subsidiaries. When valuing cross-currency swaps the Company utilizes Level 2 inputs (substantially observable).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- 9 -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The Company records the fair value positions of all derivative financial instruments on a net basis by counterparty for which a master netting arrangement is utilized. Balances on a gross basis are as follows: </w:t>
      </w:r>
    </w:p>
    <w:p>
      <w:pPr>
        <w:pStyle w:val="TextBody"/>
        <w:bidi w:val="0"/>
        <w:spacing w:lineRule="auto" w:line="314"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230"/>
        <w:gridCol w:w="1818"/>
        <w:gridCol w:w="90"/>
        <w:gridCol w:w="2174"/>
        <w:gridCol w:w="90"/>
        <w:gridCol w:w="170"/>
        <w:gridCol w:w="1270"/>
        <w:gridCol w:w="185"/>
        <w:gridCol w:w="90"/>
        <w:gridCol w:w="170"/>
        <w:gridCol w:w="1780"/>
        <w:gridCol w:w="138"/>
      </w:tblGrid>
      <w:tr>
        <w:trPr/>
        <w:tc>
          <w:tcPr>
            <w:tcW w:w="2230"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2230" w:type="dxa"/>
            <w:tcBorders>
              <w:bottom w:val="single" w:sz="2" w:space="0" w:color="000000"/>
            </w:tcBorders>
            <w:tcMar>
              <w:bottom w:w="28" w:type="dxa"/>
            </w:tcMar>
            <w:vAlign w:val="center"/>
          </w:tcPr>
          <w:p>
            <w:pPr>
              <w:pStyle w:val="TableContents"/>
              <w:bidi w:val="0"/>
              <w:spacing w:before="0" w:after="283"/>
              <w:jc w:val="left"/>
              <w:rPr>
                <w:b/>
              </w:rPr>
            </w:pPr>
            <w:r>
              <w:rPr>
                <w:b/>
              </w:rPr>
              <w:t>Derivative Instruments</w:t>
            </w:r>
          </w:p>
        </w:tc>
        <w:tc>
          <w:tcPr>
            <w:tcW w:w="1818" w:type="dxa"/>
            <w:tcBorders>
              <w:bottom w:val="single" w:sz="2" w:space="0" w:color="000000"/>
            </w:tcBorders>
            <w:tcMar>
              <w:bottom w:w="28" w:type="dxa"/>
            </w:tcMar>
            <w:vAlign w:val="center"/>
          </w:tcPr>
          <w:p>
            <w:pPr>
              <w:pStyle w:val="TableContents"/>
              <w:bidi w:val="0"/>
              <w:spacing w:before="0" w:after="283"/>
              <w:jc w:val="left"/>
              <w:rPr>
                <w:b/>
              </w:rPr>
            </w:pPr>
            <w:r>
              <w:rPr>
                <w:b/>
              </w:rPr>
              <w:t>Hedge Designation</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2174" w:type="dxa"/>
            <w:tcBorders>
              <w:bottom w:val="single" w:sz="6" w:space="0" w:color="000000"/>
            </w:tcBorders>
            <w:tcMar>
              <w:bottom w:w="28" w:type="dxa"/>
            </w:tcMar>
            <w:vAlign w:val="center"/>
          </w:tcPr>
          <w:p>
            <w:pPr>
              <w:pStyle w:val="TableContents"/>
              <w:bidi w:val="0"/>
              <w:spacing w:before="0" w:after="283"/>
              <w:jc w:val="left"/>
              <w:rPr>
                <w:b/>
              </w:rPr>
            </w:pPr>
            <w:r>
              <w:rPr>
                <w:b/>
              </w:rPr>
              <w:t>Balance Sheet Location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70"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80" w:type="dxa"/>
            <w:tcBorders>
              <w:bottom w:val="single" w:sz="2" w:space="0" w:color="000000"/>
            </w:tcBorders>
            <w:tcMar>
              <w:bottom w:w="28" w:type="dxa"/>
            </w:tcMar>
            <w:vAlign w:val="center"/>
          </w:tcPr>
          <w:p>
            <w:pPr>
              <w:pStyle w:val="TableContents"/>
              <w:bidi w:val="0"/>
              <w:spacing w:before="0" w:after="283"/>
              <w:jc w:val="center"/>
              <w:rPr/>
            </w:pPr>
            <w:r>
              <w:rPr/>
              <w:t>September 28, 2024</w:t>
            </w:r>
          </w:p>
        </w:tc>
        <w:tc>
          <w:tcPr>
            <w:tcW w:w="13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230" w:type="dxa"/>
            <w:tcBorders/>
            <w:vAlign w:val="center"/>
          </w:tcPr>
          <w:p>
            <w:pPr>
              <w:pStyle w:val="TableContents"/>
              <w:bidi w:val="0"/>
              <w:spacing w:before="0" w:after="283"/>
              <w:jc w:val="left"/>
              <w:rPr/>
            </w:pPr>
            <w:r>
              <w:rPr/>
              <w:t>Cross-currency swaps</w:t>
            </w:r>
          </w:p>
        </w:tc>
        <w:tc>
          <w:tcPr>
            <w:tcW w:w="1818" w:type="dxa"/>
            <w:tcBorders/>
            <w:vAlign w:val="center"/>
          </w:tcPr>
          <w:p>
            <w:pPr>
              <w:pStyle w:val="TableContents"/>
              <w:bidi w:val="0"/>
              <w:spacing w:before="0" w:after="283"/>
              <w:jc w:val="left"/>
              <w:rPr/>
            </w:pPr>
            <w:r>
              <w:rPr/>
              <w:t>Designated</w:t>
            </w:r>
          </w:p>
        </w:tc>
        <w:tc>
          <w:tcPr>
            <w:tcW w:w="90" w:type="dxa"/>
            <w:tcBorders/>
            <w:vAlign w:val="center"/>
          </w:tcPr>
          <w:p>
            <w:pPr>
              <w:pStyle w:val="TableContents"/>
              <w:bidi w:val="0"/>
              <w:spacing w:before="0" w:after="283"/>
              <w:jc w:val="left"/>
              <w:rPr/>
            </w:pPr>
            <w:r>
              <w:rPr/>
              <w:t> </w:t>
            </w:r>
          </w:p>
        </w:tc>
        <w:tc>
          <w:tcPr>
            <w:tcW w:w="2174" w:type="dxa"/>
            <w:tcBorders/>
            <w:vAlign w:val="center"/>
          </w:tcPr>
          <w:p>
            <w:pPr>
              <w:pStyle w:val="TableContents"/>
              <w:bidi w:val="0"/>
              <w:spacing w:before="0" w:after="283"/>
              <w:jc w:val="left"/>
              <w:rPr/>
            </w:pPr>
            <w:r>
              <w:rPr/>
              <w:t>Other 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70" w:type="dxa"/>
            <w:tcBorders/>
            <w:vAlign w:val="center"/>
          </w:tcPr>
          <w:p>
            <w:pPr>
              <w:pStyle w:val="TableContents"/>
              <w:bidi w:val="0"/>
              <w:spacing w:before="0" w:after="283"/>
              <w:jc w:val="right"/>
              <w:rPr>
                <w:b/>
              </w:rPr>
            </w:pPr>
            <w:r>
              <w:rPr>
                <w:b/>
              </w:rPr>
              <w:t>(106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80"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effect of the Company’s derivative instruments on the Consolidated and Combined Statements of Operations is as follows:</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61"/>
        <w:gridCol w:w="2412"/>
        <w:gridCol w:w="90"/>
        <w:gridCol w:w="170"/>
        <w:gridCol w:w="1101"/>
        <w:gridCol w:w="90"/>
        <w:gridCol w:w="90"/>
        <w:gridCol w:w="170"/>
        <w:gridCol w:w="1041"/>
        <w:gridCol w:w="90"/>
        <w:gridCol w:w="90"/>
        <w:gridCol w:w="170"/>
        <w:gridCol w:w="1101"/>
        <w:gridCol w:w="90"/>
        <w:gridCol w:w="90"/>
        <w:gridCol w:w="170"/>
        <w:gridCol w:w="1041"/>
        <w:gridCol w:w="138"/>
      </w:tblGrid>
      <w:tr>
        <w:trPr/>
        <w:tc>
          <w:tcPr>
            <w:tcW w:w="2061"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2061" w:type="dxa"/>
            <w:tcBorders/>
            <w:vAlign w:val="center"/>
          </w:tcPr>
          <w:p>
            <w:pPr>
              <w:pStyle w:val="TableContents"/>
              <w:bidi w:val="0"/>
              <w:spacing w:before="0" w:after="283"/>
              <w:jc w:val="left"/>
              <w:rPr/>
            </w:pPr>
            <w:r>
              <w:rPr/>
              <w:t> </w:t>
            </w:r>
          </w:p>
        </w:tc>
        <w:tc>
          <w:tcPr>
            <w:tcW w:w="24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52"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280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2061" w:type="dxa"/>
            <w:tcBorders>
              <w:bottom w:val="single" w:sz="6" w:space="0" w:color="000000"/>
            </w:tcBorders>
            <w:tcMar>
              <w:bottom w:w="28" w:type="dxa"/>
            </w:tcMar>
            <w:vAlign w:val="center"/>
          </w:tcPr>
          <w:p>
            <w:pPr>
              <w:pStyle w:val="TableContents"/>
              <w:bidi w:val="0"/>
              <w:spacing w:before="0" w:after="283"/>
              <w:jc w:val="left"/>
              <w:rPr>
                <w:b/>
              </w:rPr>
            </w:pPr>
            <w:r>
              <w:rPr>
                <w:b/>
              </w:rPr>
              <w:t>Derivative Instruments</w:t>
            </w:r>
          </w:p>
        </w:tc>
        <w:tc>
          <w:tcPr>
            <w:tcW w:w="2412" w:type="dxa"/>
            <w:tcBorders>
              <w:bottom w:val="single" w:sz="6" w:space="0" w:color="000000"/>
            </w:tcBorders>
            <w:tcMar>
              <w:bottom w:w="28" w:type="dxa"/>
            </w:tcMar>
            <w:vAlign w:val="center"/>
          </w:tcPr>
          <w:p>
            <w:pPr>
              <w:pStyle w:val="TableContents"/>
              <w:bidi w:val="0"/>
              <w:spacing w:before="0" w:after="283"/>
              <w:jc w:val="left"/>
              <w:rPr>
                <w:b/>
              </w:rPr>
            </w:pPr>
            <w:r>
              <w:rPr>
                <w:b/>
              </w:rPr>
              <w:t>Statements of Income Location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1"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0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1"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138"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061" w:type="dxa"/>
            <w:tcBorders/>
            <w:vAlign w:val="center"/>
          </w:tcPr>
          <w:p>
            <w:pPr>
              <w:pStyle w:val="TableContents"/>
              <w:bidi w:val="0"/>
              <w:spacing w:before="0" w:after="283"/>
              <w:jc w:val="left"/>
              <w:rPr/>
            </w:pPr>
            <w:r>
              <w:rPr/>
              <w:t>Cross-currency swaps</w:t>
            </w:r>
          </w:p>
        </w:tc>
        <w:tc>
          <w:tcPr>
            <w:tcW w:w="2412"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b/>
              </w:rPr>
            </w:pPr>
            <w:r>
              <w:rPr>
                <w:b/>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01" w:type="dxa"/>
            <w:tcBorders/>
            <w:vAlign w:val="center"/>
          </w:tcPr>
          <w:p>
            <w:pPr>
              <w:pStyle w:val="TableContents"/>
              <w:bidi w:val="0"/>
              <w:spacing w:before="0" w:after="283"/>
              <w:jc w:val="right"/>
              <w:rPr>
                <w:b/>
              </w:rPr>
            </w:pPr>
            <w:r>
              <w:rPr>
                <w:b/>
              </w:rPr>
              <w:t>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41" w:type="dxa"/>
            <w:tcBorders/>
            <w:vAlign w:val="center"/>
          </w:tcPr>
          <w:p>
            <w:pPr>
              <w:pStyle w:val="TableContents"/>
              <w:bidi w:val="0"/>
              <w:spacing w:before="0" w:after="283"/>
              <w:jc w:val="right"/>
              <w:rPr/>
            </w:pPr>
            <w:r>
              <w:rPr/>
              <w:t>—</w:t>
            </w:r>
          </w:p>
        </w:tc>
        <w:tc>
          <w:tcPr>
            <w:tcW w:w="13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i/>
          <w:color w:val="000000"/>
          <w:sz w:val="18"/>
        </w:rPr>
        <w:t>Non-recurring Fair Value Measurements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As a result of the fiscal 2024 assessment, the Company recorded an impairment charge of $172 million.  No impairment indicators were identified in the current quarter.</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Included in the following tables are the major categories of assets and their current carrying values, along with the impairment loss recognized on the fair value measurement for the period then ended:</w:t>
      </w:r>
      <w:r>
        <w:rPr>
          <w:rFonts w:ascii="Times New Roman" w:hAnsi="Times New Roman"/>
          <w:sz w:val="18"/>
        </w:rPr>
        <w:t xml:space="preserve"> </w:t>
      </w:r>
    </w:p>
    <w:p>
      <w:pPr>
        <w:pStyle w:val="TextBody"/>
        <w:bidi w:val="0"/>
        <w:spacing w:lineRule="auto" w:line="324" w:before="0" w:after="0"/>
        <w:jc w:val="left"/>
        <w:rPr/>
      </w:pPr>
      <w:r>
        <w:rPr/>
        <w:t> </w:t>
      </w:r>
    </w:p>
    <w:tbl>
      <w:tblPr>
        <w:tblW w:w="8890" w:type="dxa"/>
        <w:jc w:val="left"/>
        <w:tblInd w:w="0" w:type="dxa"/>
        <w:tblLayout w:type="fixed"/>
        <w:tblCellMar>
          <w:top w:w="0" w:type="dxa"/>
          <w:left w:w="0" w:type="dxa"/>
          <w:bottom w:w="0" w:type="dxa"/>
          <w:right w:w="0" w:type="dxa"/>
        </w:tblCellMar>
      </w:tblPr>
      <w:tblGrid>
        <w:gridCol w:w="2975"/>
        <w:gridCol w:w="170"/>
        <w:gridCol w:w="785"/>
        <w:gridCol w:w="90"/>
        <w:gridCol w:w="90"/>
        <w:gridCol w:w="170"/>
        <w:gridCol w:w="785"/>
        <w:gridCol w:w="90"/>
        <w:gridCol w:w="90"/>
        <w:gridCol w:w="170"/>
        <w:gridCol w:w="785"/>
        <w:gridCol w:w="90"/>
        <w:gridCol w:w="90"/>
        <w:gridCol w:w="170"/>
        <w:gridCol w:w="590"/>
        <w:gridCol w:w="90"/>
        <w:gridCol w:w="90"/>
        <w:gridCol w:w="170"/>
        <w:gridCol w:w="1265"/>
        <w:gridCol w:w="135"/>
      </w:tblGrid>
      <w:tr>
        <w:trPr/>
        <w:tc>
          <w:tcPr>
            <w:tcW w:w="29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5915" w:type="dxa"/>
            <w:gridSpan w:val="19"/>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r>
      <w:tr>
        <w:trPr/>
        <w:tc>
          <w:tcPr>
            <w:tcW w:w="297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Level 2</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85" w:type="dxa"/>
            <w:tcBorders>
              <w:bottom w:val="single" w:sz="2" w:space="0" w:color="000000"/>
            </w:tcBorders>
            <w:tcMar>
              <w:bottom w:w="28" w:type="dxa"/>
            </w:tcMar>
            <w:vAlign w:val="center"/>
          </w:tcPr>
          <w:p>
            <w:pPr>
              <w:pStyle w:val="TableContents"/>
              <w:bidi w:val="0"/>
              <w:spacing w:before="0" w:after="283"/>
              <w:jc w:val="center"/>
              <w:rPr>
                <w:b/>
              </w:rPr>
            </w:pPr>
            <w:r>
              <w:rPr>
                <w:b/>
              </w:rPr>
              <w:t>Level 3</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5" w:type="dxa"/>
            <w:tcBorders>
              <w:bottom w:val="single" w:sz="2" w:space="0" w:color="000000"/>
            </w:tcBorders>
            <w:tcMar>
              <w:bottom w:w="28" w:type="dxa"/>
            </w:tcMar>
            <w:vAlign w:val="center"/>
          </w:tcPr>
          <w:p>
            <w:pPr>
              <w:pStyle w:val="TableContents"/>
              <w:bidi w:val="0"/>
              <w:spacing w:before="0" w:after="283"/>
              <w:jc w:val="center"/>
              <w:rPr>
                <w:b/>
              </w:rPr>
            </w:pPr>
            <w:r>
              <w:rPr>
                <w:b/>
              </w:rPr>
              <w:t>Impairment</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Indefinite-lived trademarks</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b/>
              </w:rPr>
            </w:pPr>
            <w:r>
              <w:rPr>
                <w:b/>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b/>
              </w:rPr>
            </w:pPr>
            <w:r>
              <w:rPr>
                <w:b/>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Goodwill</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726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726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Definite lived intangible assets</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right"/>
              <w:rPr>
                <w:b/>
              </w:rPr>
            </w:pPr>
            <w:r>
              <w:rPr>
                <w:b/>
              </w:rPr>
              <w:t>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b/>
              </w:rPr>
            </w:pPr>
            <w:r>
              <w:rPr>
                <w:b/>
              </w:rPr>
              <w:t>185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Property, plant, and equipment</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right"/>
              <w:rPr>
                <w:b/>
              </w:rPr>
            </w:pPr>
            <w:r>
              <w:rPr>
                <w:b/>
              </w:rPr>
              <w:t>1,473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b/>
              </w:rPr>
            </w:pPr>
            <w:r>
              <w:rPr>
                <w:b/>
              </w:rPr>
              <w:t>1,473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65"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Total</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b/>
              </w:rPr>
            </w:pPr>
            <w:r>
              <w:rPr>
                <w:b/>
              </w:rPr>
              <w:t>2,410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b/>
              </w:rPr>
            </w:pPr>
            <w:r>
              <w:rPr>
                <w:b/>
              </w:rPr>
              <w:t>2,410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6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tbl>
      <w:tblPr>
        <w:tblW w:w="8805" w:type="dxa"/>
        <w:jc w:val="left"/>
        <w:tblInd w:w="0" w:type="dxa"/>
        <w:tblLayout w:type="fixed"/>
        <w:tblCellMar>
          <w:top w:w="0" w:type="dxa"/>
          <w:left w:w="0" w:type="dxa"/>
          <w:bottom w:w="0" w:type="dxa"/>
          <w:right w:w="0" w:type="dxa"/>
        </w:tblCellMar>
      </w:tblPr>
      <w:tblGrid>
        <w:gridCol w:w="2975"/>
        <w:gridCol w:w="170"/>
        <w:gridCol w:w="770"/>
        <w:gridCol w:w="90"/>
        <w:gridCol w:w="90"/>
        <w:gridCol w:w="170"/>
        <w:gridCol w:w="770"/>
        <w:gridCol w:w="90"/>
        <w:gridCol w:w="90"/>
        <w:gridCol w:w="170"/>
        <w:gridCol w:w="770"/>
        <w:gridCol w:w="90"/>
        <w:gridCol w:w="90"/>
        <w:gridCol w:w="170"/>
        <w:gridCol w:w="590"/>
        <w:gridCol w:w="90"/>
        <w:gridCol w:w="90"/>
        <w:gridCol w:w="170"/>
        <w:gridCol w:w="1130"/>
        <w:gridCol w:w="230"/>
      </w:tblGrid>
      <w:tr>
        <w:trPr/>
        <w:tc>
          <w:tcPr>
            <w:tcW w:w="29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 </w:t>
            </w:r>
          </w:p>
        </w:tc>
        <w:tc>
          <w:tcPr>
            <w:tcW w:w="5830" w:type="dxa"/>
            <w:gridSpan w:val="19"/>
            <w:tcBorders>
              <w:bottom w:val="single" w:sz="2" w:space="0" w:color="000000"/>
            </w:tcBorders>
            <w:tcMar>
              <w:bottom w:w="28" w:type="dxa"/>
            </w:tcMar>
            <w:vAlign w:val="center"/>
          </w:tcPr>
          <w:p>
            <w:pPr>
              <w:pStyle w:val="TableContents"/>
              <w:bidi w:val="0"/>
              <w:spacing w:before="0" w:after="283"/>
              <w:jc w:val="center"/>
              <w:rPr/>
            </w:pPr>
            <w:r>
              <w:rPr/>
              <w:t>September 28, 2024</w:t>
            </w:r>
          </w:p>
        </w:tc>
      </w:tr>
      <w:tr>
        <w:trPr/>
        <w:tc>
          <w:tcPr>
            <w:tcW w:w="2975"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pPr>
            <w:r>
              <w:rPr/>
              <w:t>Level 1</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pPr>
            <w:r>
              <w:rPr/>
              <w:t>Level 2</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70" w:type="dxa"/>
            <w:tcBorders>
              <w:bottom w:val="single" w:sz="2" w:space="0" w:color="000000"/>
            </w:tcBorders>
            <w:tcMar>
              <w:bottom w:w="28" w:type="dxa"/>
            </w:tcMar>
            <w:vAlign w:val="center"/>
          </w:tcPr>
          <w:p>
            <w:pPr>
              <w:pStyle w:val="TableContents"/>
              <w:bidi w:val="0"/>
              <w:spacing w:before="0" w:after="283"/>
              <w:jc w:val="center"/>
              <w:rPr/>
            </w:pPr>
            <w:r>
              <w:rPr/>
              <w:t>Level 3</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center"/>
              <w:rPr/>
            </w:pPr>
            <w:r>
              <w:rPr/>
              <w:t>Total</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0" w:type="dxa"/>
            <w:tcBorders>
              <w:bottom w:val="single" w:sz="2" w:space="0" w:color="000000"/>
            </w:tcBorders>
            <w:tcMar>
              <w:bottom w:w="28" w:type="dxa"/>
            </w:tcMar>
            <w:vAlign w:val="center"/>
          </w:tcPr>
          <w:p>
            <w:pPr>
              <w:pStyle w:val="TableContents"/>
              <w:bidi w:val="0"/>
              <w:spacing w:before="0" w:after="283"/>
              <w:jc w:val="center"/>
              <w:rPr/>
            </w:pPr>
            <w:r>
              <w:rPr/>
              <w:t>Impairment</w:t>
            </w:r>
          </w:p>
        </w:tc>
        <w:tc>
          <w:tcPr>
            <w:tcW w:w="2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975" w:type="dxa"/>
            <w:tcBorders/>
            <w:vAlign w:val="center"/>
          </w:tcPr>
          <w:p>
            <w:pPr>
              <w:pStyle w:val="TableContents"/>
              <w:bidi w:val="0"/>
              <w:spacing w:before="0" w:after="283"/>
              <w:jc w:val="left"/>
              <w:rPr/>
            </w:pPr>
            <w:r>
              <w:rPr/>
              <w:t>Indefinite-lived trademarks</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0" w:type="dxa"/>
            <w:tcBorders/>
            <w:vAlign w:val="center"/>
          </w:tcPr>
          <w:p>
            <w:pPr>
              <w:pStyle w:val="TableContents"/>
              <w:bidi w:val="0"/>
              <w:spacing w:before="0" w:after="283"/>
              <w:jc w:val="right"/>
              <w:rPr/>
            </w:pPr>
            <w:r>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3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Goodwill</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624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(171</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Definite lived intangible assets</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Property, plant, and equipment</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949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Total</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w:t>
            </w:r>
          </w:p>
        </w:tc>
        <w:tc>
          <w:tcPr>
            <w:tcW w:w="7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w:t>
            </w:r>
          </w:p>
        </w:tc>
        <w:tc>
          <w:tcPr>
            <w:tcW w:w="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w:t>
            </w:r>
          </w:p>
        </w:tc>
        <w:tc>
          <w:tcPr>
            <w:tcW w:w="7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w:t>
            </w:r>
          </w:p>
        </w:tc>
        <w:tc>
          <w:tcPr>
            <w:tcW w:w="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w:t>
            </w:r>
          </w:p>
        </w:tc>
        <w:tc>
          <w:tcPr>
            <w:tcW w:w="7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1,799</w:t>
            </w:r>
          </w:p>
        </w:tc>
        <w:tc>
          <w:tcPr>
            <w:tcW w:w="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w:t>
            </w:r>
          </w:p>
        </w:tc>
        <w:tc>
          <w:tcPr>
            <w:tcW w:w="5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1,799</w:t>
            </w:r>
          </w:p>
        </w:tc>
        <w:tc>
          <w:tcPr>
            <w:tcW w:w="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w:t>
            </w:r>
          </w:p>
        </w:tc>
        <w:tc>
          <w:tcPr>
            <w:tcW w:w="113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(172</w:t>
            </w:r>
          </w:p>
        </w:tc>
        <w:tc>
          <w:tcPr>
            <w:tcW w:w="23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lineRule="auto" w:line="324" w:before="0" w:after="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The Company’s financial instruments consist primarily of cash and cash equivalents, long-term debt, and cross-currency swap agreements.  The book value of our marketable long-term indebtedness exceeded fair value by $104 million as of June 28, 2025.  The Company’s long-term debt fair values were determined using Level 2 inputs (substantially observable). </w:t>
      </w:r>
    </w:p>
    <w:p>
      <w:pPr>
        <w:pStyle w:val="TextBody"/>
        <w:bidi w:val="0"/>
        <w:spacing w:before="0" w:after="0"/>
        <w:ind w:left="540" w:right="0" w:hanging="0"/>
        <w:jc w:val="left"/>
        <w:rPr/>
      </w:pPr>
      <w:r>
        <w:rPr/>
        <w:t xml:space="preserve">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8.         Income Taxes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YTD effective income tax rate was unfavorably impacted by the jurisdictional mix of pre-tax results among the Company and its subsidiaries and losses, which generate no tax benefit in domestic and certain foreign jurisdictions.</w:t>
      </w:r>
      <w:r>
        <w:rPr>
          <w:rFonts w:ascii="Times New Roman" w:hAnsi="Times New Roman"/>
          <w:sz w:val="18"/>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sz w:val="18"/>
        </w:rPr>
        <w:t>On July 4, 2025, the One Big Beautiful Bill Act (the “Act”) was enacted. The Act provides for several corporate tax changes including, but not limited to, restoring full expensing of domestic research and development costs, restoring immediate deductibility of certain capital expenditures, and changes in the computations of U.S. taxation on international earnings. We will continue to evaluate the impact this tax legislation may have on our business.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- 10 -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9.         Segment and Geographic Data</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The Company’s operations are organized into two operating and reportable segments: Americas and Rest of World. The structure is designed to align us with our customers, provide improved service, drive future growth, and to facilitate synergy realization.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Selected information by reportable segment is presented in the following tables:</w:t>
      </w:r>
      <w:r>
        <w:rPr>
          <w:rFonts w:ascii="Times New Roman" w:hAnsi="Times New Roman"/>
          <w:sz w:val="18"/>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57"/>
        <w:gridCol w:w="170"/>
        <w:gridCol w:w="1377"/>
        <w:gridCol w:w="90"/>
        <w:gridCol w:w="90"/>
        <w:gridCol w:w="170"/>
        <w:gridCol w:w="1317"/>
        <w:gridCol w:w="90"/>
        <w:gridCol w:w="90"/>
        <w:gridCol w:w="170"/>
        <w:gridCol w:w="1381"/>
        <w:gridCol w:w="185"/>
        <w:gridCol w:w="90"/>
        <w:gridCol w:w="170"/>
        <w:gridCol w:w="1325"/>
        <w:gridCol w:w="233"/>
      </w:tblGrid>
      <w:tr>
        <w:trPr/>
        <w:tc>
          <w:tcPr>
            <w:tcW w:w="32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pPr>
            <w:r>
              <w:rPr/>
              <w:t> </w:t>
            </w:r>
          </w:p>
        </w:tc>
        <w:tc>
          <w:tcPr>
            <w:tcW w:w="3304"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554"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3257"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77"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17"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1"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18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2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233"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b/>
              </w:rPr>
            </w:pPr>
            <w:r>
              <w:rPr>
                <w:b/>
              </w:rPr>
              <w:t>Net Sales</w:t>
            </w:r>
          </w:p>
        </w:tc>
        <w:tc>
          <w:tcPr>
            <w:tcW w:w="1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pPr>
            <w:r>
              <w:rPr/>
              <w:t>Americas</w:t>
            </w:r>
          </w:p>
        </w:tc>
        <w:tc>
          <w:tcPr>
            <w:tcW w:w="170" w:type="dxa"/>
            <w:tcBorders/>
            <w:vAlign w:val="center"/>
          </w:tcPr>
          <w:p>
            <w:pPr>
              <w:pStyle w:val="TableContents"/>
              <w:bidi w:val="0"/>
              <w:spacing w:before="0" w:after="283"/>
              <w:jc w:val="left"/>
              <w:rPr/>
            </w:pPr>
            <w:r>
              <w:rPr/>
              <w:t>$</w:t>
            </w:r>
          </w:p>
        </w:tc>
        <w:tc>
          <w:tcPr>
            <w:tcW w:w="1377" w:type="dxa"/>
            <w:tcBorders/>
            <w:vAlign w:val="center"/>
          </w:tcPr>
          <w:p>
            <w:pPr>
              <w:pStyle w:val="TableContents"/>
              <w:bidi w:val="0"/>
              <w:spacing w:before="0" w:after="283"/>
              <w:jc w:val="right"/>
              <w:rPr>
                <w:b/>
              </w:rPr>
            </w:pPr>
            <w:r>
              <w:rPr>
                <w:b/>
              </w:rPr>
              <w:t>473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7" w:type="dxa"/>
            <w:tcBorders/>
            <w:vAlign w:val="center"/>
          </w:tcPr>
          <w:p>
            <w:pPr>
              <w:pStyle w:val="TableContents"/>
              <w:bidi w:val="0"/>
              <w:spacing w:before="0" w:after="283"/>
              <w:jc w:val="right"/>
              <w:rPr/>
            </w:pPr>
            <w:r>
              <w:rPr/>
              <w:t>388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right"/>
              <w:rPr>
                <w:b/>
              </w:rPr>
            </w:pPr>
            <w:r>
              <w:rPr>
                <w:b/>
              </w:rPr>
              <w:t>1,366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1,111</w:t>
            </w:r>
          </w:p>
        </w:tc>
        <w:tc>
          <w:tcPr>
            <w:tcW w:w="233" w:type="dxa"/>
            <w:tcBorders/>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Rest of World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77" w:type="dxa"/>
            <w:tcBorders>
              <w:bottom w:val="single" w:sz="2" w:space="0" w:color="000000"/>
            </w:tcBorders>
            <w:tcMar>
              <w:bottom w:w="28" w:type="dxa"/>
            </w:tcMar>
            <w:vAlign w:val="center"/>
          </w:tcPr>
          <w:p>
            <w:pPr>
              <w:pStyle w:val="TableContents"/>
              <w:bidi w:val="0"/>
              <w:spacing w:before="0" w:after="283"/>
              <w:jc w:val="right"/>
              <w:rPr>
                <w:b/>
              </w:rPr>
            </w:pPr>
            <w:r>
              <w:rPr>
                <w:b/>
              </w:rPr>
              <w:t>366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2" w:space="0" w:color="000000"/>
            </w:tcBorders>
            <w:tcMar>
              <w:bottom w:w="28" w:type="dxa"/>
            </w:tcMar>
            <w:vAlign w:val="center"/>
          </w:tcPr>
          <w:p>
            <w:pPr>
              <w:pStyle w:val="TableContents"/>
              <w:bidi w:val="0"/>
              <w:spacing w:before="0" w:after="283"/>
              <w:jc w:val="right"/>
              <w:rPr/>
            </w:pPr>
            <w:r>
              <w:rPr/>
              <w:t>168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2" w:space="0" w:color="000000"/>
            </w:tcBorders>
            <w:tcMar>
              <w:bottom w:w="28" w:type="dxa"/>
            </w:tcMar>
            <w:vAlign w:val="center"/>
          </w:tcPr>
          <w:p>
            <w:pPr>
              <w:pStyle w:val="TableContents"/>
              <w:bidi w:val="0"/>
              <w:spacing w:before="0" w:after="283"/>
              <w:jc w:val="right"/>
              <w:rPr>
                <w:b/>
              </w:rPr>
            </w:pPr>
            <w:r>
              <w:rPr>
                <w:b/>
              </w:rPr>
              <w:t>999</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2" w:space="0" w:color="000000"/>
            </w:tcBorders>
            <w:tcMar>
              <w:bottom w:w="28" w:type="dxa"/>
            </w:tcMar>
            <w:vAlign w:val="center"/>
          </w:tcPr>
          <w:p>
            <w:pPr>
              <w:pStyle w:val="TableContents"/>
              <w:bidi w:val="0"/>
              <w:spacing w:before="0" w:after="283"/>
              <w:jc w:val="right"/>
              <w:rPr/>
            </w:pPr>
            <w:r>
              <w:rPr/>
              <w:t>522</w:t>
            </w:r>
          </w:p>
        </w:tc>
        <w:tc>
          <w:tcPr>
            <w:tcW w:w="23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Total net sales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77" w:type="dxa"/>
            <w:tcBorders>
              <w:bottom w:val="double" w:sz="6" w:space="0" w:color="000000"/>
            </w:tcBorders>
            <w:tcMar>
              <w:bottom w:w="28" w:type="dxa"/>
            </w:tcMar>
            <w:vAlign w:val="center"/>
          </w:tcPr>
          <w:p>
            <w:pPr>
              <w:pStyle w:val="TableContents"/>
              <w:bidi w:val="0"/>
              <w:spacing w:before="0" w:after="283"/>
              <w:jc w:val="right"/>
              <w:rPr>
                <w:b/>
              </w:rPr>
            </w:pPr>
            <w:r>
              <w:rPr>
                <w:b/>
              </w:rPr>
              <w:t>839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tcMar>
              <w:bottom w:w="28" w:type="dxa"/>
            </w:tcMar>
            <w:vAlign w:val="center"/>
          </w:tcPr>
          <w:p>
            <w:pPr>
              <w:pStyle w:val="TableContents"/>
              <w:bidi w:val="0"/>
              <w:spacing w:before="0" w:after="283"/>
              <w:jc w:val="right"/>
              <w:rPr/>
            </w:pPr>
            <w:r>
              <w:rPr/>
              <w:t>556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tcMar>
              <w:bottom w:w="28" w:type="dxa"/>
            </w:tcMar>
            <w:vAlign w:val="center"/>
          </w:tcPr>
          <w:p>
            <w:pPr>
              <w:pStyle w:val="TableContents"/>
              <w:bidi w:val="0"/>
              <w:spacing w:before="0" w:after="283"/>
              <w:jc w:val="right"/>
              <w:rPr>
                <w:b/>
              </w:rPr>
            </w:pPr>
            <w:r>
              <w:rPr>
                <w:b/>
              </w:rPr>
              <w:t>2,365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tcMar>
              <w:bottom w:w="28" w:type="dxa"/>
            </w:tcMar>
            <w:vAlign w:val="center"/>
          </w:tcPr>
          <w:p>
            <w:pPr>
              <w:pStyle w:val="TableContents"/>
              <w:bidi w:val="0"/>
              <w:spacing w:before="0" w:after="283"/>
              <w:jc w:val="right"/>
              <w:rPr/>
            </w:pPr>
            <w:r>
              <w:rPr/>
              <w:t>1,633</w:t>
            </w:r>
          </w:p>
        </w:tc>
        <w:tc>
          <w:tcPr>
            <w:tcW w:w="233"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b/>
              </w:rPr>
            </w:pPr>
            <w:r>
              <w:rPr>
                <w:b/>
              </w:rPr>
              <w:t>Operating income (loss)</w:t>
            </w:r>
          </w:p>
        </w:tc>
        <w:tc>
          <w:tcPr>
            <w:tcW w:w="1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pPr>
            <w:r>
              <w:rPr/>
              <w:t>Americas</w:t>
            </w:r>
          </w:p>
        </w:tc>
        <w:tc>
          <w:tcPr>
            <w:tcW w:w="170" w:type="dxa"/>
            <w:tcBorders/>
            <w:vAlign w:val="center"/>
          </w:tcPr>
          <w:p>
            <w:pPr>
              <w:pStyle w:val="TableContents"/>
              <w:bidi w:val="0"/>
              <w:spacing w:before="0" w:after="283"/>
              <w:jc w:val="left"/>
              <w:rPr/>
            </w:pPr>
            <w:r>
              <w:rPr/>
              <w:t>$</w:t>
            </w:r>
          </w:p>
        </w:tc>
        <w:tc>
          <w:tcPr>
            <w:tcW w:w="1377" w:type="dxa"/>
            <w:tcBorders/>
            <w:vAlign w:val="center"/>
          </w:tcPr>
          <w:p>
            <w:pPr>
              <w:pStyle w:val="TableContents"/>
              <w:bidi w:val="0"/>
              <w:spacing w:before="0" w:after="283"/>
              <w:jc w:val="right"/>
              <w:rPr>
                <w:b/>
              </w:rPr>
            </w:pPr>
            <w:r>
              <w:rPr>
                <w:b/>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7" w:type="dxa"/>
            <w:tcBorders/>
            <w:vAlign w:val="center"/>
          </w:tcPr>
          <w:p>
            <w:pPr>
              <w:pStyle w:val="TableContents"/>
              <w:bidi w:val="0"/>
              <w:spacing w:before="0" w:after="283"/>
              <w:jc w:val="right"/>
              <w:rPr/>
            </w:pPr>
            <w:r>
              <w:rPr/>
              <w:t>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right"/>
              <w:rPr>
                <w:b/>
              </w:rPr>
            </w:pPr>
            <w:r>
              <w:rPr>
                <w:b/>
              </w:rPr>
              <w:t>13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33</w:t>
            </w:r>
          </w:p>
        </w:tc>
        <w:tc>
          <w:tcPr>
            <w:tcW w:w="233" w:type="dxa"/>
            <w:tcBorders/>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Rest of World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77" w:type="dxa"/>
            <w:tcBorders>
              <w:bottom w:val="single" w:sz="2" w:space="0" w:color="000000"/>
            </w:tcBorders>
            <w:tcMar>
              <w:bottom w:w="28" w:type="dxa"/>
            </w:tcMar>
            <w:vAlign w:val="center"/>
          </w:tcPr>
          <w:p>
            <w:pPr>
              <w:pStyle w:val="TableContents"/>
              <w:bidi w:val="0"/>
              <w:spacing w:before="0" w:after="283"/>
              <w:jc w:val="right"/>
              <w:rPr>
                <w:b/>
              </w:rPr>
            </w:pPr>
            <w:r>
              <w:rPr>
                <w:b/>
              </w:rPr>
              <w:t>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2" w:space="0" w:color="000000"/>
            </w:tcBorders>
            <w:tcMar>
              <w:bottom w:w="28" w:type="dxa"/>
            </w:tcMar>
            <w:vAlign w:val="center"/>
          </w:tcPr>
          <w:p>
            <w:pPr>
              <w:pStyle w:val="TableContents"/>
              <w:bidi w:val="0"/>
              <w:spacing w:before="0" w:after="283"/>
              <w:jc w:val="right"/>
              <w:rPr/>
            </w:pPr>
            <w:r>
              <w:rPr/>
              <w:t>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2" w:space="0" w:color="000000"/>
            </w:tcBorders>
            <w:tcMar>
              <w:bottom w:w="28" w:type="dxa"/>
            </w:tcMar>
            <w:vAlign w:val="center"/>
          </w:tcPr>
          <w:p>
            <w:pPr>
              <w:pStyle w:val="TableContents"/>
              <w:bidi w:val="0"/>
              <w:spacing w:before="0" w:after="283"/>
              <w:jc w:val="right"/>
              <w:rPr>
                <w:b/>
              </w:rPr>
            </w:pPr>
            <w:r>
              <w:rPr>
                <w:b/>
              </w:rPr>
              <w:t>(18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2" w:space="0" w:color="000000"/>
            </w:tcBorders>
            <w:tcMar>
              <w:bottom w:w="28" w:type="dxa"/>
            </w:tcMar>
            <w:vAlign w:val="center"/>
          </w:tcPr>
          <w:p>
            <w:pPr>
              <w:pStyle w:val="TableContents"/>
              <w:bidi w:val="0"/>
              <w:spacing w:before="0" w:after="283"/>
              <w:jc w:val="right"/>
              <w:rPr/>
            </w:pPr>
            <w:r>
              <w:rPr/>
              <w:t>(7</w:t>
            </w:r>
          </w:p>
        </w:tc>
        <w:tc>
          <w:tcPr>
            <w:tcW w:w="23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Total operating income (loss)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77" w:type="dxa"/>
            <w:tcBorders>
              <w:bottom w:val="double" w:sz="6" w:space="0" w:color="000000"/>
            </w:tcBorders>
            <w:tcMar>
              <w:bottom w:w="28" w:type="dxa"/>
            </w:tcMar>
            <w:vAlign w:val="center"/>
          </w:tcPr>
          <w:p>
            <w:pPr>
              <w:pStyle w:val="TableContents"/>
              <w:bidi w:val="0"/>
              <w:spacing w:before="0" w:after="283"/>
              <w:jc w:val="right"/>
              <w:rPr>
                <w:b/>
              </w:rPr>
            </w:pPr>
            <w:r>
              <w:rPr>
                <w:b/>
              </w:rPr>
              <w:t>13</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tcMar>
              <w:bottom w:w="28" w:type="dxa"/>
            </w:tcMar>
            <w:vAlign w:val="center"/>
          </w:tcPr>
          <w:p>
            <w:pPr>
              <w:pStyle w:val="TableContents"/>
              <w:bidi w:val="0"/>
              <w:spacing w:before="0" w:after="283"/>
              <w:jc w:val="right"/>
              <w:rPr/>
            </w:pPr>
            <w:r>
              <w:rPr/>
              <w:t>17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tcMar>
              <w:bottom w:w="28" w:type="dxa"/>
            </w:tcMar>
            <w:vAlign w:val="center"/>
          </w:tcPr>
          <w:p>
            <w:pPr>
              <w:pStyle w:val="TableContents"/>
              <w:bidi w:val="0"/>
              <w:spacing w:before="0" w:after="283"/>
              <w:jc w:val="right"/>
              <w:rPr>
                <w:b/>
              </w:rPr>
            </w:pPr>
            <w:r>
              <w:rPr>
                <w:b/>
              </w:rPr>
              <w:t>(5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tcMar>
              <w:bottom w:w="28" w:type="dxa"/>
            </w:tcMar>
            <w:vAlign w:val="center"/>
          </w:tcPr>
          <w:p>
            <w:pPr>
              <w:pStyle w:val="TableContents"/>
              <w:bidi w:val="0"/>
              <w:spacing w:before="0" w:after="283"/>
              <w:jc w:val="right"/>
              <w:rPr/>
            </w:pPr>
            <w:r>
              <w:rPr/>
              <w:t>26</w:t>
            </w:r>
          </w:p>
        </w:tc>
        <w:tc>
          <w:tcPr>
            <w:tcW w:w="233"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b/>
              </w:rPr>
            </w:pPr>
            <w:r>
              <w:rPr>
                <w:b/>
              </w:rPr>
              <w:t>Depreciation and amortization</w:t>
            </w:r>
          </w:p>
        </w:tc>
        <w:tc>
          <w:tcPr>
            <w:tcW w:w="170"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sz w:val="4"/>
                <w:szCs w:val="4"/>
              </w:rPr>
            </w:pPr>
            <w:r>
              <w:rPr>
                <w:sz w:val="4"/>
                <w:szCs w:val="4"/>
              </w:rPr>
            </w:r>
          </w:p>
        </w:tc>
      </w:tr>
      <w:tr>
        <w:trPr/>
        <w:tc>
          <w:tcPr>
            <w:tcW w:w="3257" w:type="dxa"/>
            <w:tcBorders/>
            <w:vAlign w:val="center"/>
          </w:tcPr>
          <w:p>
            <w:pPr>
              <w:pStyle w:val="TableContents"/>
              <w:bidi w:val="0"/>
              <w:spacing w:before="0" w:after="283"/>
              <w:jc w:val="left"/>
              <w:rPr/>
            </w:pPr>
            <w:r>
              <w:rPr/>
              <w:t>Americas</w:t>
            </w:r>
          </w:p>
        </w:tc>
        <w:tc>
          <w:tcPr>
            <w:tcW w:w="170" w:type="dxa"/>
            <w:tcBorders/>
            <w:vAlign w:val="center"/>
          </w:tcPr>
          <w:p>
            <w:pPr>
              <w:pStyle w:val="TableContents"/>
              <w:bidi w:val="0"/>
              <w:spacing w:before="0" w:after="283"/>
              <w:jc w:val="left"/>
              <w:rPr/>
            </w:pPr>
            <w:r>
              <w:rPr/>
              <w:t>$</w:t>
            </w:r>
          </w:p>
        </w:tc>
        <w:tc>
          <w:tcPr>
            <w:tcW w:w="1377" w:type="dxa"/>
            <w:tcBorders/>
            <w:vAlign w:val="center"/>
          </w:tcPr>
          <w:p>
            <w:pPr>
              <w:pStyle w:val="TableContents"/>
              <w:bidi w:val="0"/>
              <w:spacing w:before="0" w:after="283"/>
              <w:jc w:val="right"/>
              <w:rPr>
                <w:b/>
              </w:rPr>
            </w:pPr>
            <w:r>
              <w:rPr>
                <w:b/>
              </w:rPr>
              <w:t>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17" w:type="dxa"/>
            <w:tcBorders/>
            <w:vAlign w:val="center"/>
          </w:tcPr>
          <w:p>
            <w:pPr>
              <w:pStyle w:val="TableContents"/>
              <w:bidi w:val="0"/>
              <w:spacing w:before="0" w:after="283"/>
              <w:jc w:val="right"/>
              <w:rPr/>
            </w:pPr>
            <w:r>
              <w:rPr/>
              <w:t>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1" w:type="dxa"/>
            <w:tcBorders/>
            <w:vAlign w:val="center"/>
          </w:tcPr>
          <w:p>
            <w:pPr>
              <w:pStyle w:val="TableContents"/>
              <w:bidi w:val="0"/>
              <w:spacing w:before="0" w:after="283"/>
              <w:jc w:val="right"/>
              <w:rPr>
                <w:b/>
              </w:rPr>
            </w:pPr>
            <w:r>
              <w:rPr>
                <w:b/>
              </w:rPr>
              <w:t>107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right"/>
              <w:rPr/>
            </w:pPr>
            <w:r>
              <w:rPr/>
              <w:t>91</w:t>
            </w:r>
          </w:p>
        </w:tc>
        <w:tc>
          <w:tcPr>
            <w:tcW w:w="233" w:type="dxa"/>
            <w:tcBorders/>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Rest of World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77" w:type="dxa"/>
            <w:tcBorders>
              <w:bottom w:val="single" w:sz="2" w:space="0" w:color="000000"/>
            </w:tcBorders>
            <w:tcMar>
              <w:bottom w:w="28" w:type="dxa"/>
            </w:tcMar>
            <w:vAlign w:val="center"/>
          </w:tcPr>
          <w:p>
            <w:pPr>
              <w:pStyle w:val="TableContents"/>
              <w:bidi w:val="0"/>
              <w:spacing w:before="0" w:after="283"/>
              <w:jc w:val="right"/>
              <w:rPr>
                <w:b/>
              </w:rPr>
            </w:pPr>
            <w:r>
              <w:rPr>
                <w:b/>
              </w:rPr>
              <w:t>23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17" w:type="dxa"/>
            <w:tcBorders>
              <w:bottom w:val="single" w:sz="2" w:space="0" w:color="000000"/>
            </w:tcBorders>
            <w:tcMar>
              <w:bottom w:w="28" w:type="dxa"/>
            </w:tcMar>
            <w:vAlign w:val="center"/>
          </w:tcPr>
          <w:p>
            <w:pPr>
              <w:pStyle w:val="TableContents"/>
              <w:bidi w:val="0"/>
              <w:spacing w:before="0" w:after="283"/>
              <w:jc w:val="right"/>
              <w:rPr/>
            </w:pPr>
            <w:r>
              <w:rPr/>
              <w:t>12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1" w:type="dxa"/>
            <w:tcBorders>
              <w:bottom w:val="single" w:sz="2" w:space="0" w:color="000000"/>
            </w:tcBorders>
            <w:tcMar>
              <w:bottom w:w="28" w:type="dxa"/>
            </w:tcMar>
            <w:vAlign w:val="center"/>
          </w:tcPr>
          <w:p>
            <w:pPr>
              <w:pStyle w:val="TableContents"/>
              <w:bidi w:val="0"/>
              <w:spacing w:before="0" w:after="283"/>
              <w:jc w:val="right"/>
              <w:rPr>
                <w:b/>
              </w:rPr>
            </w:pPr>
            <w:r>
              <w:rPr>
                <w:b/>
              </w:rPr>
              <w:t>62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25" w:type="dxa"/>
            <w:tcBorders>
              <w:bottom w:val="single" w:sz="2" w:space="0" w:color="000000"/>
            </w:tcBorders>
            <w:tcMar>
              <w:bottom w:w="28" w:type="dxa"/>
            </w:tcMar>
            <w:vAlign w:val="center"/>
          </w:tcPr>
          <w:p>
            <w:pPr>
              <w:pStyle w:val="TableContents"/>
              <w:bidi w:val="0"/>
              <w:spacing w:before="0" w:after="283"/>
              <w:jc w:val="right"/>
              <w:rPr/>
            </w:pPr>
            <w:r>
              <w:rPr/>
              <w:t>39</w:t>
            </w:r>
          </w:p>
        </w:tc>
        <w:tc>
          <w:tcPr>
            <w:tcW w:w="23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57" w:type="dxa"/>
            <w:tcBorders/>
            <w:vAlign w:val="center"/>
          </w:tcPr>
          <w:p>
            <w:pPr>
              <w:pStyle w:val="TableContents"/>
              <w:bidi w:val="0"/>
              <w:spacing w:before="0" w:after="283"/>
              <w:jc w:val="left"/>
              <w:rPr/>
            </w:pPr>
            <w:r>
              <w:rPr/>
              <w:t>Total depreciation and amortization</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77" w:type="dxa"/>
            <w:tcBorders>
              <w:bottom w:val="double" w:sz="6" w:space="0" w:color="000000"/>
            </w:tcBorders>
            <w:tcMar>
              <w:bottom w:w="28" w:type="dxa"/>
            </w:tcMar>
            <w:vAlign w:val="center"/>
          </w:tcPr>
          <w:p>
            <w:pPr>
              <w:pStyle w:val="TableContents"/>
              <w:bidi w:val="0"/>
              <w:spacing w:before="0" w:after="283"/>
              <w:jc w:val="right"/>
              <w:rPr>
                <w:b/>
              </w:rPr>
            </w:pPr>
            <w:r>
              <w:rPr>
                <w:b/>
              </w:rPr>
              <w:t>58</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17" w:type="dxa"/>
            <w:tcBorders>
              <w:bottom w:val="double" w:sz="6" w:space="0" w:color="000000"/>
            </w:tcBorders>
            <w:tcMar>
              <w:bottom w:w="28" w:type="dxa"/>
            </w:tcMar>
            <w:vAlign w:val="center"/>
          </w:tcPr>
          <w:p>
            <w:pPr>
              <w:pStyle w:val="TableContents"/>
              <w:bidi w:val="0"/>
              <w:spacing w:before="0" w:after="283"/>
              <w:jc w:val="right"/>
              <w:rPr/>
            </w:pPr>
            <w:r>
              <w:rPr/>
              <w:t>42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1" w:type="dxa"/>
            <w:tcBorders>
              <w:bottom w:val="double" w:sz="6" w:space="0" w:color="000000"/>
            </w:tcBorders>
            <w:tcMar>
              <w:bottom w:w="28" w:type="dxa"/>
            </w:tcMar>
            <w:vAlign w:val="center"/>
          </w:tcPr>
          <w:p>
            <w:pPr>
              <w:pStyle w:val="TableContents"/>
              <w:bidi w:val="0"/>
              <w:spacing w:before="0" w:after="283"/>
              <w:jc w:val="right"/>
              <w:rPr>
                <w:b/>
              </w:rPr>
            </w:pPr>
            <w:r>
              <w:rPr>
                <w:b/>
              </w:rPr>
              <w:t>169</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25" w:type="dxa"/>
            <w:tcBorders>
              <w:bottom w:val="double" w:sz="6" w:space="0" w:color="000000"/>
            </w:tcBorders>
            <w:tcMar>
              <w:bottom w:w="28" w:type="dxa"/>
            </w:tcMar>
            <w:vAlign w:val="center"/>
          </w:tcPr>
          <w:p>
            <w:pPr>
              <w:pStyle w:val="TableContents"/>
              <w:bidi w:val="0"/>
              <w:spacing w:before="0" w:after="283"/>
              <w:jc w:val="right"/>
              <w:rPr/>
            </w:pPr>
            <w:r>
              <w:rPr/>
              <w:t>130</w:t>
            </w:r>
          </w:p>
        </w:tc>
        <w:tc>
          <w:tcPr>
            <w:tcW w:w="233"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Selected information by geographical region is presented in the following table:</w:t>
      </w:r>
      <w:r>
        <w:rPr>
          <w:rFonts w:ascii="Times New Roman" w:hAnsi="Times New Roman"/>
          <w:sz w:val="18"/>
        </w:rPr>
        <w:t xml:space="preserve"> </w:t>
      </w:r>
    </w:p>
    <w:p>
      <w:pPr>
        <w:pStyle w:val="TextBody"/>
        <w:bidi w:val="0"/>
        <w:spacing w:before="0" w:after="0"/>
        <w:jc w:val="left"/>
        <w:rPr/>
      </w:pPr>
      <w:r>
        <w:rPr/>
        <w:t xml:space="preserve">  </w:t>
      </w:r>
    </w:p>
    <w:tbl>
      <w:tblPr>
        <w:tblW w:w="9525" w:type="dxa"/>
        <w:jc w:val="left"/>
        <w:tblInd w:w="0" w:type="dxa"/>
        <w:tblLayout w:type="fixed"/>
        <w:tblCellMar>
          <w:top w:w="0" w:type="dxa"/>
          <w:left w:w="0" w:type="dxa"/>
          <w:bottom w:w="0" w:type="dxa"/>
          <w:right w:w="0" w:type="dxa"/>
        </w:tblCellMar>
      </w:tblPr>
      <w:tblGrid>
        <w:gridCol w:w="2510"/>
        <w:gridCol w:w="170"/>
        <w:gridCol w:w="1445"/>
        <w:gridCol w:w="90"/>
        <w:gridCol w:w="90"/>
        <w:gridCol w:w="170"/>
        <w:gridCol w:w="1385"/>
        <w:gridCol w:w="90"/>
        <w:gridCol w:w="90"/>
        <w:gridCol w:w="170"/>
        <w:gridCol w:w="1445"/>
        <w:gridCol w:w="90"/>
        <w:gridCol w:w="90"/>
        <w:gridCol w:w="170"/>
        <w:gridCol w:w="1385"/>
        <w:gridCol w:w="135"/>
      </w:tblGrid>
      <w:tr>
        <w:trPr/>
        <w:tc>
          <w:tcPr>
            <w:tcW w:w="251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 </w:t>
            </w:r>
          </w:p>
        </w:tc>
        <w:tc>
          <w:tcPr>
            <w:tcW w:w="344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48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251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13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b/>
              </w:rPr>
            </w:pPr>
            <w:r>
              <w:rPr>
                <w:b/>
              </w:rPr>
              <w:t>Net Sales</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United States and Canada</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369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253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45" w:type="dxa"/>
            <w:tcBorders/>
            <w:vAlign w:val="center"/>
          </w:tcPr>
          <w:p>
            <w:pPr>
              <w:pStyle w:val="TableContents"/>
              <w:bidi w:val="0"/>
              <w:spacing w:before="0" w:after="283"/>
              <w:jc w:val="right"/>
              <w:rPr>
                <w:b/>
              </w:rPr>
            </w:pPr>
            <w:r>
              <w:rPr>
                <w:b/>
              </w:rPr>
              <w:t>1,042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85" w:type="dxa"/>
            <w:tcBorders/>
            <w:vAlign w:val="center"/>
          </w:tcPr>
          <w:p>
            <w:pPr>
              <w:pStyle w:val="TableContents"/>
              <w:bidi w:val="0"/>
              <w:spacing w:before="0" w:after="283"/>
              <w:jc w:val="right"/>
              <w:rPr/>
            </w:pPr>
            <w:r>
              <w:rPr/>
              <w:t>728</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Latin America</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104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135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324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383</w:t>
            </w:r>
          </w:p>
        </w:tc>
        <w:tc>
          <w:tcPr>
            <w:tcW w:w="13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Rest of World</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366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168</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right"/>
              <w:rPr>
                <w:b/>
              </w:rPr>
            </w:pPr>
            <w:r>
              <w:rPr>
                <w:b/>
              </w:rPr>
              <w:t>999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85" w:type="dxa"/>
            <w:tcBorders>
              <w:bottom w:val="single" w:sz="2" w:space="0" w:color="000000"/>
            </w:tcBorders>
            <w:tcMar>
              <w:bottom w:w="28" w:type="dxa"/>
            </w:tcMar>
            <w:vAlign w:val="center"/>
          </w:tcPr>
          <w:p>
            <w:pPr>
              <w:pStyle w:val="TableContents"/>
              <w:bidi w:val="0"/>
              <w:spacing w:before="0" w:after="283"/>
              <w:jc w:val="right"/>
              <w:rPr/>
            </w:pPr>
            <w:r>
              <w:rPr/>
              <w:t>522</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Total net sales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839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556</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45" w:type="dxa"/>
            <w:tcBorders>
              <w:bottom w:val="double" w:sz="6" w:space="0" w:color="000000"/>
            </w:tcBorders>
            <w:tcMar>
              <w:bottom w:w="28" w:type="dxa"/>
            </w:tcMar>
            <w:vAlign w:val="center"/>
          </w:tcPr>
          <w:p>
            <w:pPr>
              <w:pStyle w:val="TableContents"/>
              <w:bidi w:val="0"/>
              <w:spacing w:before="0" w:after="283"/>
              <w:jc w:val="right"/>
              <w:rPr>
                <w:b/>
              </w:rPr>
            </w:pPr>
            <w:r>
              <w:rPr>
                <w:b/>
              </w:rPr>
              <w:t>2,365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385" w:type="dxa"/>
            <w:tcBorders>
              <w:bottom w:val="double" w:sz="6" w:space="0" w:color="000000"/>
            </w:tcBorders>
            <w:tcMar>
              <w:bottom w:w="28" w:type="dxa"/>
            </w:tcMar>
            <w:vAlign w:val="center"/>
          </w:tcPr>
          <w:p>
            <w:pPr>
              <w:pStyle w:val="TableContents"/>
              <w:bidi w:val="0"/>
              <w:spacing w:before="0" w:after="283"/>
              <w:jc w:val="right"/>
              <w:rPr/>
            </w:pPr>
            <w:r>
              <w:rPr/>
              <w:t>1,633</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lineRule="auto" w:line="314" w:before="0" w:after="0"/>
        <w:jc w:val="left"/>
        <w:rPr/>
      </w:pPr>
      <w:r>
        <w:rPr/>
        <w:t>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Selected information by category is presented in the following tables:</w:t>
      </w:r>
    </w:p>
    <w:p>
      <w:pPr>
        <w:pStyle w:val="TextBody"/>
        <w:bidi w:val="0"/>
        <w:spacing w:before="0" w:after="0"/>
        <w:jc w:val="left"/>
        <w:rPr/>
      </w:pPr>
      <w:r>
        <w:rPr/>
        <w:t> </w:t>
      </w:r>
    </w:p>
    <w:tbl>
      <w:tblPr>
        <w:tblW w:w="9300" w:type="dxa"/>
        <w:jc w:val="left"/>
        <w:tblInd w:w="0" w:type="dxa"/>
        <w:tblLayout w:type="fixed"/>
        <w:tblCellMar>
          <w:top w:w="0" w:type="dxa"/>
          <w:left w:w="0" w:type="dxa"/>
          <w:bottom w:w="0" w:type="dxa"/>
          <w:right w:w="0" w:type="dxa"/>
        </w:tblCellMar>
      </w:tblPr>
      <w:tblGrid>
        <w:gridCol w:w="1985"/>
        <w:gridCol w:w="90"/>
        <w:gridCol w:w="1445"/>
        <w:gridCol w:w="245"/>
        <w:gridCol w:w="90"/>
        <w:gridCol w:w="90"/>
        <w:gridCol w:w="1385"/>
        <w:gridCol w:w="245"/>
        <w:gridCol w:w="90"/>
        <w:gridCol w:w="90"/>
        <w:gridCol w:w="1445"/>
        <w:gridCol w:w="245"/>
        <w:gridCol w:w="90"/>
        <w:gridCol w:w="90"/>
        <w:gridCol w:w="1385"/>
        <w:gridCol w:w="290"/>
      </w:tblGrid>
      <w:tr>
        <w:trPr/>
        <w:tc>
          <w:tcPr>
            <w:tcW w:w="19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 </w:t>
            </w:r>
          </w:p>
        </w:tc>
        <w:tc>
          <w:tcPr>
            <w:tcW w:w="359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Quarterly Period Ended</w:t>
            </w:r>
          </w:p>
        </w:tc>
        <w:tc>
          <w:tcPr>
            <w:tcW w:w="90" w:type="dxa"/>
            <w:tcBorders/>
            <w:vAlign w:val="center"/>
          </w:tcPr>
          <w:p>
            <w:pPr>
              <w:pStyle w:val="TableContents"/>
              <w:bidi w:val="0"/>
              <w:spacing w:before="0" w:after="283"/>
              <w:jc w:val="left"/>
              <w:rPr/>
            </w:pPr>
            <w:r>
              <w:rPr/>
              <w:t> </w:t>
            </w:r>
          </w:p>
        </w:tc>
        <w:tc>
          <w:tcPr>
            <w:tcW w:w="3635" w:type="dxa"/>
            <w:gridSpan w:val="7"/>
            <w:tcBorders>
              <w:bottom w:val="single" w:sz="2" w:space="0" w:color="000000"/>
            </w:tcBorders>
            <w:tcMar>
              <w:bottom w:w="28" w:type="dxa"/>
            </w:tcMar>
            <w:vAlign w:val="center"/>
          </w:tcPr>
          <w:p>
            <w:pPr>
              <w:pStyle w:val="TableContents"/>
              <w:bidi w:val="0"/>
              <w:spacing w:before="0" w:after="283"/>
              <w:jc w:val="center"/>
              <w:rPr>
                <w:b/>
              </w:rPr>
            </w:pPr>
            <w:r>
              <w:rPr>
                <w:b/>
              </w:rPr>
              <w:t>Three Quarterly Periods Ended</w:t>
            </w:r>
          </w:p>
        </w:tc>
      </w:tr>
      <w:tr>
        <w:trPr/>
        <w:tc>
          <w:tcPr>
            <w:tcW w:w="1985"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2" w:space="0" w:color="000000"/>
            </w:tcBorders>
            <w:tcMar>
              <w:bottom w:w="28" w:type="dxa"/>
            </w:tcMar>
            <w:vAlign w:val="center"/>
          </w:tcPr>
          <w:p>
            <w:pPr>
              <w:pStyle w:val="TableContents"/>
              <w:bidi w:val="0"/>
              <w:spacing w:before="0" w:after="283"/>
              <w:jc w:val="center"/>
              <w:rPr>
                <w:b/>
              </w:rPr>
            </w:pPr>
            <w:r>
              <w:rPr>
                <w:b/>
              </w:rPr>
              <w:t>June 28, 2025</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5" w:type="dxa"/>
            <w:tcBorders>
              <w:bottom w:val="single" w:sz="2" w:space="0" w:color="000000"/>
            </w:tcBorders>
            <w:tcMar>
              <w:bottom w:w="28" w:type="dxa"/>
            </w:tcMar>
            <w:vAlign w:val="center"/>
          </w:tcPr>
          <w:p>
            <w:pPr>
              <w:pStyle w:val="TableContents"/>
              <w:bidi w:val="0"/>
              <w:spacing w:before="0" w:after="283"/>
              <w:jc w:val="center"/>
              <w:rPr/>
            </w:pPr>
            <w:r>
              <w:rPr/>
              <w:t>June 29, 2024</w:t>
            </w:r>
          </w:p>
        </w:tc>
        <w:tc>
          <w:tcPr>
            <w:tcW w:w="2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b/>
              </w:rPr>
            </w:pPr>
            <w:r>
              <w:rPr>
                <w:b/>
              </w:rPr>
              <w:t>Net Sales</w:t>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left"/>
              <w:rPr/>
            </w:pPr>
            <w:r>
              <w:rPr/>
              <w:t>Personal Care</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64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48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64</w:t>
            </w:r>
          </w:p>
        </w:tc>
        <w:tc>
          <w:tcPr>
            <w:tcW w:w="290" w:type="dxa"/>
            <w:tcBorders/>
            <w:vAlign w:val="center"/>
          </w:tcPr>
          <w:p>
            <w:pPr>
              <w:pStyle w:val="TableContents"/>
              <w:bidi w:val="0"/>
              <w:spacing w:before="0" w:after="283"/>
              <w:jc w:val="left"/>
              <w:rPr/>
            </w:pPr>
            <w:r>
              <w:rPr/>
              <w:t>%</w:t>
            </w:r>
          </w:p>
        </w:tc>
      </w:tr>
      <w:tr>
        <w:trPr/>
        <w:tc>
          <w:tcPr>
            <w:tcW w:w="1985" w:type="dxa"/>
            <w:tcBorders/>
            <w:vAlign w:val="center"/>
          </w:tcPr>
          <w:p>
            <w:pPr>
              <w:pStyle w:val="TableContents"/>
              <w:bidi w:val="0"/>
              <w:spacing w:before="0" w:after="283"/>
              <w:jc w:val="left"/>
              <w:rPr/>
            </w:pPr>
            <w:r>
              <w:rPr/>
              <w:t>Consumer Solutions</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54</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36</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b/>
              </w:rPr>
            </w:pPr>
            <w:r>
              <w:rPr>
                <w:b/>
              </w:rPr>
              <w:t>52</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right"/>
              <w:rPr/>
            </w:pPr>
            <w:r>
              <w:rPr/>
              <w:t>36</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- 11 -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10.       Contingencies and Commitments</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b/>
          <w:i/>
          <w:color w:val="000000"/>
          <w:sz w:val="18"/>
        </w:rPr>
        <w:t>Litigation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consolidated and combined financial position, results of operations or cash flows.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color w:val="000000"/>
          <w:sz w:val="18"/>
        </w:rPr>
        <w:t>Environmental Claims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Over the next 30 years, we are primarily responsible for the reimbursement of government oversight costs associated with certain environmental claims regarding the Fox River located in Neenah, Wisconsin. At June 28, 2025, the outstanding balance of the environmental liability and corresponding escrow asset was $18 million and $9 million, respectively.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color w:val="000000"/>
          <w:sz w:val="18"/>
        </w:rPr>
        <w:t>Tax Claims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As part of a previous acquisition, the Company acquired a liability related to certain tax claims treated as a deferred purchase price (the “Deferred Consideration”). The Deferred Consideration accretes at a rate of 9.5% per annum compounded daily, which shall be paid to the selling stockholders of the previous acquisition to the extent certain existing and potential tax claims are resolved. At June 28, 2025 and June 29, 2024, the outstanding balance of the Deferred Consideration was $56 million and $51 million, respectively. If the Company incurs actual tax liability with respect to the tax claims, the amount of the Deferred Consideration owed to the selling stockholders will be reduced by the amount of such actual tax liability. The Company will be responsible for any actual tax liability in excess of the Deferred Consideration. The Deferred Consideration is reflected on the consolidated and combined balance sheets in Other long-term liabilities as the settlement of existing and potential claims is expected to be greater than one year. </w:t>
      </w:r>
    </w:p>
    <w:p>
      <w:pPr>
        <w:pStyle w:val="TextBody"/>
        <w:bidi w:val="0"/>
        <w:spacing w:before="0" w:after="0"/>
        <w:jc w:val="left"/>
        <w:rPr/>
      </w:pPr>
      <w:r>
        <w:rPr/>
        <w:t xml:space="preserve">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11.       Basic and Diluted Net Income (Loss) Per Share</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Basic net income or earnings per share ("EPS") is calculated by dividing the net income attributable to common stockholders by the weighted-average number of common shares outstanding during the period, without consideration for common stock equivalents.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The following tables provide a reconciliation of the numerator and denominator of the basic and diluted EPS calculations:</w:t>
      </w:r>
      <w:r>
        <w:rPr>
          <w:rFonts w:ascii="Times New Roman" w:hAnsi="Times New Roman"/>
          <w:sz w:val="18"/>
        </w:rPr>
        <w:t xml:space="preserve"> </w:t>
      </w:r>
    </w:p>
    <w:p>
      <w:pPr>
        <w:pStyle w:val="TextBody"/>
        <w:bidi w:val="0"/>
        <w:spacing w:lineRule="auto" w:line="314"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267"/>
        <w:gridCol w:w="170"/>
        <w:gridCol w:w="1098"/>
        <w:gridCol w:w="185"/>
        <w:gridCol w:w="90"/>
        <w:gridCol w:w="170"/>
        <w:gridCol w:w="1098"/>
        <w:gridCol w:w="90"/>
        <w:gridCol w:w="90"/>
        <w:gridCol w:w="170"/>
        <w:gridCol w:w="1098"/>
        <w:gridCol w:w="185"/>
        <w:gridCol w:w="90"/>
        <w:gridCol w:w="170"/>
        <w:gridCol w:w="1098"/>
        <w:gridCol w:w="136"/>
      </w:tblGrid>
      <w:tr>
        <w:trPr/>
        <w:tc>
          <w:tcPr>
            <w:tcW w:w="4267"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4267" w:type="dxa"/>
            <w:tcBorders/>
            <w:vAlign w:val="center"/>
          </w:tcPr>
          <w:p>
            <w:pPr>
              <w:pStyle w:val="TableContents"/>
              <w:bidi w:val="0"/>
              <w:spacing w:before="0" w:after="283"/>
              <w:jc w:val="left"/>
              <w:rPr/>
            </w:pPr>
            <w:r>
              <w:rPr/>
              <w:t> </w:t>
            </w:r>
          </w:p>
        </w:tc>
        <w:tc>
          <w:tcPr>
            <w:tcW w:w="2901" w:type="dxa"/>
            <w:gridSpan w:val="7"/>
            <w:tcBorders/>
            <w:vAlign w:val="center"/>
          </w:tcPr>
          <w:p>
            <w:pPr>
              <w:pStyle w:val="TableContents"/>
              <w:bidi w:val="0"/>
              <w:spacing w:before="0" w:after="0"/>
              <w:jc w:val="center"/>
              <w:rPr>
                <w:b/>
              </w:rPr>
            </w:pPr>
            <w:r>
              <w:rPr>
                <w:b/>
              </w:rPr>
              <w:t xml:space="preserve">Quarterly Period Ended </w:t>
            </w:r>
          </w:p>
        </w:tc>
        <w:tc>
          <w:tcPr>
            <w:tcW w:w="90" w:type="dxa"/>
            <w:tcBorders/>
            <w:vAlign w:val="center"/>
          </w:tcPr>
          <w:p>
            <w:pPr>
              <w:pStyle w:val="TableContents"/>
              <w:bidi w:val="0"/>
              <w:spacing w:before="0" w:after="283"/>
              <w:jc w:val="left"/>
              <w:rPr/>
            </w:pPr>
            <w:r>
              <w:rPr/>
              <w:t> </w:t>
            </w:r>
          </w:p>
        </w:tc>
        <w:tc>
          <w:tcPr>
            <w:tcW w:w="2947" w:type="dxa"/>
            <w:gridSpan w:val="7"/>
            <w:tcBorders/>
            <w:vAlign w:val="center"/>
          </w:tcPr>
          <w:p>
            <w:pPr>
              <w:pStyle w:val="TableContents"/>
              <w:bidi w:val="0"/>
              <w:spacing w:before="0" w:after="0"/>
              <w:jc w:val="center"/>
              <w:rPr>
                <w:b/>
              </w:rPr>
            </w:pPr>
            <w:r>
              <w:rPr>
                <w:b/>
              </w:rPr>
              <w:t xml:space="preserve">Three Quarterly Periods Ended </w:t>
            </w:r>
          </w:p>
        </w:tc>
      </w:tr>
      <w:tr>
        <w:trPr/>
        <w:tc>
          <w:tcPr>
            <w:tcW w:w="4267" w:type="dxa"/>
            <w:tcBorders/>
            <w:vAlign w:val="center"/>
          </w:tcPr>
          <w:p>
            <w:pPr>
              <w:pStyle w:val="TableContents"/>
              <w:bidi w:val="0"/>
              <w:spacing w:before="0" w:after="0"/>
              <w:jc w:val="left"/>
              <w:rPr/>
            </w:pPr>
            <w:r>
              <w:rPr/>
              <w:t xml:space="preserve">(in millions)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098" w:type="dxa"/>
            <w:tcBorders>
              <w:top w:val="single" w:sz="2" w:space="0" w:color="000000"/>
              <w:bottom w:val="single" w:sz="2" w:space="0" w:color="000000"/>
            </w:tcBorders>
            <w:tcMar>
              <w:top w:w="28" w:type="dxa"/>
              <w:bottom w:w="28" w:type="dxa"/>
            </w:tcMar>
            <w:vAlign w:val="center"/>
          </w:tcPr>
          <w:p>
            <w:pPr>
              <w:pStyle w:val="TableContents"/>
              <w:bidi w:val="0"/>
              <w:spacing w:before="0" w:after="0"/>
              <w:jc w:val="center"/>
              <w:rPr>
                <w:b/>
              </w:rPr>
            </w:pPr>
            <w:r>
              <w:rPr>
                <w:b/>
              </w:rPr>
              <w:t xml:space="preserve">June 28, 2025 </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098" w:type="dxa"/>
            <w:tcBorders>
              <w:top w:val="single" w:sz="2" w:space="0" w:color="000000"/>
              <w:bottom w:val="single" w:sz="2" w:space="0" w:color="000000"/>
            </w:tcBorders>
            <w:tcMar>
              <w:top w:w="28" w:type="dxa"/>
              <w:bottom w:w="28" w:type="dxa"/>
            </w:tcMar>
            <w:vAlign w:val="center"/>
          </w:tcPr>
          <w:p>
            <w:pPr>
              <w:pStyle w:val="TableContents"/>
              <w:bidi w:val="0"/>
              <w:spacing w:before="0" w:after="0"/>
              <w:jc w:val="center"/>
              <w:rPr>
                <w:b/>
              </w:rPr>
            </w:pPr>
            <w:r>
              <w:rPr>
                <w:b/>
              </w:rPr>
              <w:t xml:space="preserve">June 29, 2024 </w:t>
            </w:r>
          </w:p>
        </w:tc>
        <w:tc>
          <w:tcPr>
            <w:tcW w:w="9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098" w:type="dxa"/>
            <w:tcBorders>
              <w:top w:val="single" w:sz="2" w:space="0" w:color="000000"/>
              <w:bottom w:val="single" w:sz="2" w:space="0" w:color="000000"/>
            </w:tcBorders>
            <w:tcMar>
              <w:top w:w="28" w:type="dxa"/>
              <w:bottom w:w="28" w:type="dxa"/>
            </w:tcMar>
            <w:vAlign w:val="center"/>
          </w:tcPr>
          <w:p>
            <w:pPr>
              <w:pStyle w:val="TableContents"/>
              <w:bidi w:val="0"/>
              <w:spacing w:before="0" w:after="0"/>
              <w:jc w:val="center"/>
              <w:rPr>
                <w:b/>
              </w:rPr>
            </w:pPr>
            <w:r>
              <w:rPr>
                <w:b/>
              </w:rPr>
              <w:t xml:space="preserve">June 28, 2025 </w:t>
            </w:r>
          </w:p>
        </w:tc>
        <w:tc>
          <w:tcPr>
            <w:tcW w:w="1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098" w:type="dxa"/>
            <w:tcBorders>
              <w:top w:val="single" w:sz="2" w:space="0" w:color="000000"/>
              <w:bottom w:val="single" w:sz="2" w:space="0" w:color="000000"/>
            </w:tcBorders>
            <w:tcMar>
              <w:top w:w="28" w:type="dxa"/>
              <w:bottom w:w="28" w:type="dxa"/>
            </w:tcMar>
            <w:vAlign w:val="center"/>
          </w:tcPr>
          <w:p>
            <w:pPr>
              <w:pStyle w:val="TableContents"/>
              <w:bidi w:val="0"/>
              <w:spacing w:before="0" w:after="0"/>
              <w:jc w:val="center"/>
              <w:rPr>
                <w:b/>
              </w:rPr>
            </w:pPr>
            <w:r>
              <w:rPr>
                <w:b/>
              </w:rPr>
              <w:t xml:space="preserve">June 29, 2024 </w:t>
            </w:r>
          </w:p>
        </w:tc>
        <w:tc>
          <w:tcPr>
            <w:tcW w:w="136"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4267" w:type="dxa"/>
            <w:tcBorders/>
            <w:vAlign w:val="center"/>
          </w:tcPr>
          <w:p>
            <w:pPr>
              <w:pStyle w:val="TableContents"/>
              <w:bidi w:val="0"/>
              <w:spacing w:before="0" w:after="0"/>
              <w:jc w:val="left"/>
              <w:rPr>
                <w:b/>
              </w:rPr>
            </w:pPr>
            <w:r>
              <w:rPr>
                <w:b/>
              </w:rPr>
              <w:t xml:space="preserve">Numerator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4267" w:type="dxa"/>
            <w:tcBorders/>
            <w:vAlign w:val="center"/>
          </w:tcPr>
          <w:p>
            <w:pPr>
              <w:pStyle w:val="TableContents"/>
              <w:bidi w:val="0"/>
              <w:spacing w:before="0" w:after="0"/>
              <w:jc w:val="left"/>
              <w:rPr/>
            </w:pPr>
            <w:r>
              <w:rPr/>
              <w:t xml:space="preserve">Consolidated net income (loss) </w:t>
            </w:r>
          </w:p>
        </w:tc>
        <w:tc>
          <w:tcPr>
            <w:tcW w:w="170" w:type="dxa"/>
            <w:tcBorders/>
            <w:vAlign w:val="center"/>
          </w:tcPr>
          <w:p>
            <w:pPr>
              <w:pStyle w:val="TableContents"/>
              <w:bidi w:val="0"/>
              <w:spacing w:before="0" w:after="283"/>
              <w:jc w:val="left"/>
              <w:rPr>
                <w:b/>
              </w:rPr>
            </w:pPr>
            <w:r>
              <w:rPr>
                <w:b/>
              </w:rPr>
              <w:t>$</w:t>
            </w:r>
          </w:p>
        </w:tc>
        <w:tc>
          <w:tcPr>
            <w:tcW w:w="1098" w:type="dxa"/>
            <w:tcBorders/>
            <w:vAlign w:val="center"/>
          </w:tcPr>
          <w:p>
            <w:pPr>
              <w:pStyle w:val="TableContents"/>
              <w:bidi w:val="0"/>
              <w:spacing w:before="0" w:after="283"/>
              <w:jc w:val="right"/>
              <w:rPr>
                <w:b/>
              </w:rPr>
            </w:pPr>
            <w:r>
              <w:rPr>
                <w:b/>
              </w:rPr>
              <w:t>(18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283"/>
              <w:jc w:val="right"/>
              <w:rPr/>
            </w:pPr>
            <w:r>
              <w:rPr/>
              <w:t>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b/>
              </w:rPr>
            </w:pPr>
            <w:r>
              <w:rPr>
                <w:b/>
              </w:rPr>
              <w:t>$</w:t>
            </w:r>
          </w:p>
        </w:tc>
        <w:tc>
          <w:tcPr>
            <w:tcW w:w="1098" w:type="dxa"/>
            <w:tcBorders/>
            <w:vAlign w:val="center"/>
          </w:tcPr>
          <w:p>
            <w:pPr>
              <w:pStyle w:val="TableContents"/>
              <w:bidi w:val="0"/>
              <w:spacing w:before="0" w:after="283"/>
              <w:jc w:val="right"/>
              <w:rPr>
                <w:b/>
              </w:rPr>
            </w:pPr>
            <w:r>
              <w:rPr>
                <w:b/>
              </w:rPr>
              <w:t>(119</w:t>
            </w:r>
          </w:p>
        </w:tc>
        <w:tc>
          <w:tcPr>
            <w:tcW w:w="185" w:type="dxa"/>
            <w:tcBorders/>
            <w:vAlign w:val="center"/>
          </w:tcPr>
          <w:p>
            <w:pPr>
              <w:pStyle w:val="TableContents"/>
              <w:bidi w:val="0"/>
              <w:spacing w:before="0" w:after="283"/>
              <w:jc w:val="left"/>
              <w:rPr>
                <w:b/>
              </w:rPr>
            </w:pPr>
            <w:r>
              <w:rPr>
                <w:b/>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98" w:type="dxa"/>
            <w:tcBorders/>
            <w:vAlign w:val="center"/>
          </w:tcPr>
          <w:p>
            <w:pPr>
              <w:pStyle w:val="TableContents"/>
              <w:bidi w:val="0"/>
              <w:spacing w:before="0" w:after="283"/>
              <w:jc w:val="right"/>
              <w:rPr/>
            </w:pPr>
            <w:r>
              <w:rPr/>
              <w:t>25</w:t>
            </w:r>
          </w:p>
        </w:tc>
        <w:tc>
          <w:tcPr>
            <w:tcW w:w="136" w:type="dxa"/>
            <w:tcBorders/>
            <w:vAlign w:val="center"/>
          </w:tcPr>
          <w:p>
            <w:pPr>
              <w:pStyle w:val="TableContents"/>
              <w:bidi w:val="0"/>
              <w:spacing w:before="0" w:after="283"/>
              <w:jc w:val="left"/>
              <w:rPr/>
            </w:pPr>
            <w:r>
              <w:rPr/>
              <w:t> </w:t>
            </w:r>
          </w:p>
        </w:tc>
      </w:tr>
      <w:tr>
        <w:trPr/>
        <w:tc>
          <w:tcPr>
            <w:tcW w:w="4267" w:type="dxa"/>
            <w:tcBorders/>
            <w:vAlign w:val="center"/>
          </w:tcPr>
          <w:p>
            <w:pPr>
              <w:pStyle w:val="TableContents"/>
              <w:bidi w:val="0"/>
              <w:spacing w:before="0" w:after="0"/>
              <w:jc w:val="left"/>
              <w:rPr>
                <w:b/>
              </w:rPr>
            </w:pPr>
            <w:r>
              <w:rPr>
                <w:b/>
              </w:rPr>
              <w:t xml:space="preserve">Denominator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r>
      <w:tr>
        <w:trPr/>
        <w:tc>
          <w:tcPr>
            <w:tcW w:w="4267" w:type="dxa"/>
            <w:tcBorders/>
            <w:vAlign w:val="center"/>
          </w:tcPr>
          <w:p>
            <w:pPr>
              <w:pStyle w:val="TableContents"/>
              <w:bidi w:val="0"/>
              <w:spacing w:before="0" w:after="0"/>
              <w:jc w:val="left"/>
              <w:rPr/>
            </w:pPr>
            <w:r>
              <w:rPr/>
              <w:t xml:space="preserve">Weighted average common shares outstanding - basic and dilutive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b/>
              </w:rPr>
            </w:pPr>
            <w:r>
              <w:rPr>
                <w:b/>
              </w:rPr>
              <w:t>35.6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b/>
              </w:rPr>
            </w:pPr>
            <w:r>
              <w:rPr>
                <w:b/>
              </w:rPr>
              <w:t>35.5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right"/>
              <w:rPr/>
            </w:pPr>
            <w:r>
              <w:rPr/>
              <w:t>31.8</w:t>
            </w:r>
          </w:p>
        </w:tc>
        <w:tc>
          <w:tcPr>
            <w:tcW w:w="136" w:type="dxa"/>
            <w:tcBorders/>
            <w:vAlign w:val="center"/>
          </w:tcPr>
          <w:p>
            <w:pPr>
              <w:pStyle w:val="TableContents"/>
              <w:bidi w:val="0"/>
              <w:spacing w:before="0" w:after="283"/>
              <w:jc w:val="left"/>
              <w:rPr/>
            </w:pPr>
            <w:r>
              <w:rPr/>
              <w:t> </w:t>
            </w:r>
          </w:p>
        </w:tc>
      </w:tr>
    </w:tbl>
    <w:p>
      <w:pPr>
        <w:pStyle w:val="TextBody"/>
        <w:bidi w:val="0"/>
        <w:spacing w:before="0" w:after="0"/>
        <w:jc w:val="left"/>
        <w:rPr/>
      </w:pPr>
      <w:r>
        <w:rPr>
          <w:color w:val="000000"/>
        </w:rPr>
        <w:t> </w:t>
      </w:r>
      <w:r>
        <w:rPr/>
        <w:t xml:space="preserve"> </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 xml:space="preserve">While there were no shares outstanding in prior periods, an allocation of 90% of the shares as of the completion of the Transaction have been provided for comparability purposes. Shares excluded from the current period calculation, as the effect of their conversion into shares of our common stock would be antidilutive were 1.1 million. </w:t>
      </w:r>
    </w:p>
    <w:p>
      <w:pPr>
        <w:pStyle w:val="TextBody"/>
        <w:bidi w:val="0"/>
        <w:spacing w:before="0" w:after="0"/>
        <w:jc w:val="left"/>
        <w:rPr/>
      </w:pPr>
      <w:r>
        <w:rPr/>
        <w:t xml:space="preserve">  </w:t>
      </w:r>
    </w:p>
    <w:p>
      <w:pPr>
        <w:pStyle w:val="TextBody"/>
        <w:bidi w:val="0"/>
        <w:spacing w:before="0" w:after="0"/>
        <w:ind w:left="0" w:right="0" w:hanging="540"/>
        <w:jc w:val="left"/>
        <w:rPr/>
      </w:pPr>
      <w:r>
        <w:rPr/>
        <w:t> </w:t>
      </w:r>
    </w:p>
    <w:p>
      <w:pPr>
        <w:pStyle w:val="TextBody"/>
        <w:bidi w:val="0"/>
        <w:spacing w:before="0" w:after="0"/>
        <w:jc w:val="left"/>
        <w:rPr>
          <w:rFonts w:ascii="Times New Roman" w:hAnsi="Times New Roman"/>
          <w:b/>
          <w:sz w:val="18"/>
        </w:rPr>
      </w:pPr>
      <w:r>
        <w:rPr>
          <w:rFonts w:ascii="Times New Roman" w:hAnsi="Times New Roman"/>
          <w:b/>
          <w:sz w:val="18"/>
        </w:rPr>
        <w:t>12.       Corporate Expense Allocation</w:t>
      </w:r>
    </w:p>
    <w:p>
      <w:pPr>
        <w:pStyle w:val="TextBody"/>
        <w:bidi w:val="0"/>
        <w:spacing w:before="0" w:after="0"/>
        <w:jc w:val="left"/>
        <w:rPr/>
      </w:pPr>
      <w:r>
        <w:rPr/>
        <w:t> </w:t>
      </w:r>
    </w:p>
    <w:p>
      <w:pPr>
        <w:pStyle w:val="TextBody"/>
        <w:bidi w:val="0"/>
        <w:spacing w:before="0" w:after="0"/>
        <w:jc w:val="left"/>
        <w:rPr>
          <w:rFonts w:ascii="Times New Roman" w:hAnsi="Times New Roman"/>
          <w:sz w:val="18"/>
        </w:rPr>
      </w:pPr>
      <w:r>
        <w:rPr>
          <w:rFonts w:ascii="Times New Roman" w:hAnsi="Times New Roman"/>
          <w:color w:val="000000"/>
          <w:sz w:val="18"/>
        </w:rPr>
        <w:t>Based on management estimates, $3 million and $17 million of general corporate expenses including information technology, accounting, legal, human resources, and other services were allocated to Treasure periods prior to the Closing Date during the nine months ended June 28, 2025 and June 29, 2024, respectively.  </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- 12 -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9" w:name="Section23"/>
      <w:bookmarkEnd w:id="9"/>
      <w:r>
        <w:rPr>
          <w:rFonts w:ascii="Times New Roman" w:hAnsi="Times New Roman"/>
          <w:b/>
          <w:sz w:val="18"/>
        </w:rPr>
        <w:t>Item 2.  Management’s Discussion and Analysis of Financial Condition and Results of Operations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Executive Summary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 xml:space="preserve">Business. </w:t>
      </w:r>
      <w:r>
        <w:rPr>
          <w:rFonts w:ascii="Times New Roman" w:hAnsi="Times New Roman"/>
          <w:sz w:val="18"/>
        </w:rPr>
        <w:t xml:space="preserve">The Company’s operations are organized into two operating segments: Americas and Rest of the World.  The structure is designed to align us with our customers, provide improved service, drive future growth and to facilitate synergy realization. The Americas segment consists of sites in North America and South America that manufacture a wide range of products and components of personal care and consumer solution products and components of products including medical garments, wipes, dryer sheets, face masks, filtration, baby diapers and adult incontinence.  The Rest of World segment consists of sites throughout Europe and China that manufacture a broad collection of personal care and consumer solution products and components of products including medical garments, wipes, cable wrap, filtration, baby diapers and adult incontinence.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Raw Material Trends.</w:t>
      </w:r>
      <w:r>
        <w:rPr>
          <w:rFonts w:ascii="Times New Roman" w:hAnsi="Times New Roman"/>
          <w:sz w:val="18"/>
        </w:rPr>
        <w:t xml:space="preserve">  Our primary raw materials are polymer resin and wood-based fibers and pulps.  In addition, we use other materials in various manufacturing 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other means.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Outlook.</w:t>
      </w:r>
      <w:r>
        <w:rPr>
          <w:rFonts w:ascii="Times New Roman" w:hAnsi="Times New Roman"/>
          <w:sz w:val="18"/>
        </w:rPr>
        <w:t>  The Company is affected by general economic and industrial growth, raw material availability, cost inflation, supply chain disruptions, new and changing tariffs and general industrial production.  Our business has both geographic and end market diversity, which reduces the effect of any one of these factors on our overall performance.  Our results are affected by our ability to pass through raw material and other cost changes, including tariffs, to our customers, improve manufacturing productivity and adapt to volume changes of our customers.  </w:t>
      </w:r>
      <w:r>
        <w:rPr>
          <w:rFonts w:ascii="Times New Roman" w:hAnsi="Times New Roman"/>
          <w:color w:val="000000"/>
          <w:sz w:val="18"/>
        </w:rPr>
        <w:t>During fiscal 2025, the Company announced capacity rationalizations in order to deliver future cost savings and optimize equipment utilization. In total, over the next two years, these actions are projected to cost approximately $20 million with the operations savings intended to counter general economic softness.  </w:t>
      </w:r>
      <w:r>
        <w:rPr>
          <w:rFonts w:ascii="Times New Roman" w:hAnsi="Times New Roman"/>
          <w:sz w:val="18"/>
        </w:rPr>
        <w:t xml:space="preserve">Despite global macro-economic challenges and uncertainties attributed to continued rising inflation, changing tariff policies and general market softness, we continue to believe our underlying long-term demand fundamental in all divisions will remain strong as we focus on providing advantaged products in targeted markets.  For fiscal 2025, we project post-Transaction free cash flow of $75-95 million including $75 million of capital spending.  For the calculation of post-Transaction free cash flow and further information related to free cash flow as a non-GAAP financial measure, see “Liquidity and Capital Resources.”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18"/>
        </w:rPr>
      </w:pPr>
      <w:r>
        <w:rPr>
          <w:rFonts w:ascii="Times New Roman" w:hAnsi="Times New Roman"/>
          <w:b/>
          <w:sz w:val="18"/>
        </w:rPr>
        <w:t>Acquisition Strategy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As part of our growth strategy, we intend pursue additional acquisition targets. Our acquisition strategy is focused on identifying attractive assets that will support improving our long-term financial performance, enhancing our market positions, and expanding our existing and complementary product lines. We seek to obtain businesses for attractive post-synergy multiples, creating value for our stockholders from synergy realization, leveraging the acquired products across our customer base, creating new platforms for future growth, and assuming best practices from the businesses we acquire. While the expected benefits on earnings will be estimated at the commencement of each transaction, once the execution of the plan and integration occur, we may be unable to accurately estimate or track what the ultimate effects will be due to system integrations and movements of activities to multiple facilities.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Glatfelter</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color w:val="000000"/>
          <w:sz w:val="18"/>
        </w:rPr>
        <w:t>On November 4, 2024, the Transaction was completed with GLT.</w:t>
      </w:r>
      <w:r>
        <w:rPr>
          <w:rFonts w:ascii="Times New Roman" w:hAnsi="Times New Roman"/>
          <w:sz w:val="18"/>
        </w:rPr>
        <w:t>  </w:t>
      </w:r>
      <w:r>
        <w:rPr>
          <w:rFonts w:ascii="Times New Roman" w:hAnsi="Times New Roman"/>
          <w:color w:val="000000"/>
          <w:sz w:val="18"/>
        </w:rPr>
        <w:t>The Transaction combined GLT’s sustainable solutions and product portfolio with Treasure’s portfolio of proprietary technologies and global scale.</w:t>
      </w:r>
      <w:r>
        <w:rPr>
          <w:rFonts w:ascii="Times New Roman" w:hAnsi="Times New Roman"/>
          <w:sz w:val="18"/>
        </w:rPr>
        <w:t>  </w:t>
      </w:r>
      <w:r>
        <w:rPr>
          <w:rFonts w:ascii="Times New Roman" w:hAnsi="Times New Roman"/>
          <w:color w:val="000000"/>
          <w:sz w:val="18"/>
        </w:rPr>
        <w:t>The Company</w:t>
      </w:r>
      <w:r>
        <w:rPr>
          <w:rFonts w:ascii="Times New Roman" w:hAnsi="Times New Roman"/>
          <w:sz w:val="18"/>
        </w:rPr>
        <w:t xml:space="preserve"> is now</w:t>
      </w:r>
      <w:r>
        <w:rPr>
          <w:rFonts w:ascii="Times New Roman" w:hAnsi="Times New Roman"/>
          <w:color w:val="000000"/>
          <w:sz w:val="18"/>
        </w:rPr>
        <w:t xml:space="preserve"> a global leader in growing markets while serving some of the world’s largest brand owners.</w:t>
      </w:r>
      <w:r>
        <w:rPr>
          <w:rFonts w:ascii="Times New Roman" w:hAnsi="Times New Roman"/>
          <w:sz w:val="18"/>
        </w:rPr>
        <w:t xml:space="preserve">  The Company expects to realize annual synergies of $55 million net of incremental standalone costs.  See Note 3—Acquisition.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Results of Operations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Comparison of the Quarterly Period Ended June 28, 2025 (the “Quarter”) and the Quarterly Period Ended June 29, 2024 (the “Prior Quarter”)</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Business integration expenses consist of restructuring and impairment charges, acquisition/merger related costs, and other business optimization costs.  Tables present dollars in millions.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- 13 -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r>
        <w:rPr>
          <w:rFonts w:ascii="Times New Roman" w:hAnsi="Times New Roman"/>
          <w:b/>
          <w:i/>
          <w:sz w:val="18"/>
        </w:rPr>
        <w:t>Consolidated Overview</w:t>
      </w:r>
      <w:r>
        <w:rPr>
          <w:rFonts w:ascii="Times New Roman" w:hAnsi="Times New Roman"/>
          <w:sz w:val="18"/>
        </w:rPr>
        <w:t xml:space="preserve"> </w:t>
      </w:r>
    </w:p>
    <w:tbl>
      <w:tblPr>
        <w:tblW w:w="7836" w:type="dxa"/>
        <w:jc w:val="left"/>
        <w:tblInd w:w="0" w:type="dxa"/>
        <w:tblLayout w:type="fixed"/>
        <w:tblCellMar>
          <w:top w:w="0" w:type="dxa"/>
          <w:left w:w="0" w:type="dxa"/>
          <w:bottom w:w="0" w:type="dxa"/>
          <w:right w:w="0" w:type="dxa"/>
        </w:tblCellMar>
      </w:tblPr>
      <w:tblGrid>
        <w:gridCol w:w="1820"/>
        <w:gridCol w:w="170"/>
        <w:gridCol w:w="935"/>
        <w:gridCol w:w="90"/>
        <w:gridCol w:w="90"/>
        <w:gridCol w:w="170"/>
        <w:gridCol w:w="1355"/>
        <w:gridCol w:w="90"/>
        <w:gridCol w:w="90"/>
        <w:gridCol w:w="170"/>
        <w:gridCol w:w="1025"/>
        <w:gridCol w:w="185"/>
        <w:gridCol w:w="90"/>
        <w:gridCol w:w="91"/>
        <w:gridCol w:w="1100"/>
        <w:gridCol w:w="365"/>
      </w:tblGrid>
      <w:tr>
        <w:trPr/>
        <w:tc>
          <w:tcPr>
            <w:tcW w:w="18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2" w:space="0" w:color="000000"/>
            </w:tcBorders>
            <w:tcMar>
              <w:bottom w:w="28" w:type="dxa"/>
            </w:tcMar>
            <w:vAlign w:val="center"/>
          </w:tcPr>
          <w:p>
            <w:pPr>
              <w:pStyle w:val="TableContents"/>
              <w:bidi w:val="0"/>
              <w:spacing w:before="0" w:after="283"/>
              <w:jc w:val="center"/>
              <w:rPr/>
            </w:pPr>
            <w:r>
              <w:rPr>
                <w:b/>
                <w:color w:val="000000"/>
              </w:rPr>
              <w:t>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pPr>
            <w:r>
              <w:rPr>
                <w:color w:val="000000"/>
              </w:rPr>
              <w:t>Prior 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36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9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839</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35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556</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283</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51</w:t>
            </w:r>
          </w:p>
        </w:tc>
        <w:tc>
          <w:tcPr>
            <w:tcW w:w="36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820" w:type="dxa"/>
            <w:tcBorders/>
            <w:vAlign w:val="center"/>
          </w:tcPr>
          <w:p>
            <w:pPr>
              <w:pStyle w:val="TableContents"/>
              <w:bidi w:val="0"/>
              <w:spacing w:before="0" w:after="0"/>
              <w:jc w:val="left"/>
              <w:rPr/>
            </w:pPr>
            <w:r>
              <w:rPr/>
              <w:t xml:space="preserve">Operating income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right"/>
              <w:rPr>
                <w:b/>
              </w:rPr>
            </w:pPr>
            <w:r>
              <w:rPr>
                <w:b/>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right"/>
              <w:rPr/>
            </w:pPr>
            <w:r>
              <w:rPr/>
              <w:t>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Net sales: </w:t>
      </w:r>
      <w:r>
        <w:rPr>
          <w:rFonts w:ascii="Times New Roman" w:hAnsi="Times New Roman"/>
          <w:sz w:val="18"/>
        </w:rPr>
        <w:t xml:space="preserve">  The net sales increase included revenue from the Transaction of $320 million which was partially offset by a $7 million decrease in selling prices and a 5% organic volume decline which was attributed to general market softness in Europe and competitive pressures from imports in South America.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(loss): </w:t>
      </w:r>
      <w:r>
        <w:rPr>
          <w:rFonts w:ascii="Times New Roman" w:hAnsi="Times New Roman"/>
          <w:sz w:val="18"/>
        </w:rPr>
        <w:t xml:space="preserve">The operating income decline included an $8 million unfavorable impact from increased business integration costs, a $4 million unfavorable impact from the volume decline, a $4 million increase in stock compensation expense and an unfavorable impact from price cost spread of $3 million, partially offset by the elimination of $8 million in corporate expense allocations in Prior Quarter and income from the acquired GLT business of $5 million.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Americas</w:t>
      </w:r>
      <w:r>
        <w:rPr>
          <w:rFonts w:ascii="Times New Roman" w:hAnsi="Times New Roman"/>
          <w:sz w:val="18"/>
        </w:rPr>
        <w:t xml:space="preserve"> </w:t>
      </w:r>
    </w:p>
    <w:tbl>
      <w:tblPr>
        <w:tblW w:w="7836" w:type="dxa"/>
        <w:jc w:val="left"/>
        <w:tblInd w:w="0" w:type="dxa"/>
        <w:tblLayout w:type="fixed"/>
        <w:tblCellMar>
          <w:top w:w="0" w:type="dxa"/>
          <w:left w:w="0" w:type="dxa"/>
          <w:bottom w:w="0" w:type="dxa"/>
          <w:right w:w="0" w:type="dxa"/>
        </w:tblCellMar>
      </w:tblPr>
      <w:tblGrid>
        <w:gridCol w:w="1820"/>
        <w:gridCol w:w="170"/>
        <w:gridCol w:w="935"/>
        <w:gridCol w:w="90"/>
        <w:gridCol w:w="90"/>
        <w:gridCol w:w="170"/>
        <w:gridCol w:w="1355"/>
        <w:gridCol w:w="90"/>
        <w:gridCol w:w="90"/>
        <w:gridCol w:w="170"/>
        <w:gridCol w:w="1025"/>
        <w:gridCol w:w="185"/>
        <w:gridCol w:w="90"/>
        <w:gridCol w:w="91"/>
        <w:gridCol w:w="1100"/>
        <w:gridCol w:w="365"/>
      </w:tblGrid>
      <w:tr>
        <w:trPr/>
        <w:tc>
          <w:tcPr>
            <w:tcW w:w="18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2" w:space="0" w:color="000000"/>
            </w:tcBorders>
            <w:tcMar>
              <w:bottom w:w="28" w:type="dxa"/>
            </w:tcMar>
            <w:vAlign w:val="center"/>
          </w:tcPr>
          <w:p>
            <w:pPr>
              <w:pStyle w:val="TableContents"/>
              <w:bidi w:val="0"/>
              <w:spacing w:before="0" w:after="283"/>
              <w:jc w:val="center"/>
              <w:rPr/>
            </w:pPr>
            <w:r>
              <w:rPr>
                <w:b/>
                <w:color w:val="000000"/>
              </w:rPr>
              <w:t>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pPr>
            <w:r>
              <w:rPr>
                <w:color w:val="000000"/>
              </w:rPr>
              <w:t>Prior 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36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9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473</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35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388</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85</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22</w:t>
            </w:r>
          </w:p>
        </w:tc>
        <w:tc>
          <w:tcPr>
            <w:tcW w:w="36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820" w:type="dxa"/>
            <w:tcBorders/>
            <w:vAlign w:val="center"/>
          </w:tcPr>
          <w:p>
            <w:pPr>
              <w:pStyle w:val="TableContents"/>
              <w:bidi w:val="0"/>
              <w:spacing w:before="0" w:after="0"/>
              <w:jc w:val="left"/>
              <w:rPr/>
            </w:pPr>
            <w:r>
              <w:rPr>
                <w:color w:val="000000"/>
              </w:rPr>
              <w:t>Operating income</w:t>
            </w:r>
            <w:r>
              <w:rPr/>
              <w:t xml:space="preserve"> </w:t>
            </w:r>
          </w:p>
        </w:tc>
        <w:tc>
          <w:tcPr>
            <w:tcW w:w="170" w:type="dxa"/>
            <w:tcBorders/>
            <w:vAlign w:val="center"/>
          </w:tcPr>
          <w:p>
            <w:pPr>
              <w:pStyle w:val="TableContents"/>
              <w:bidi w:val="0"/>
              <w:spacing w:before="0" w:after="283"/>
              <w:jc w:val="left"/>
              <w:rPr>
                <w:color w:val="000000"/>
              </w:rPr>
            </w:pPr>
            <w:r>
              <w:rPr>
                <w:color w:val="000000"/>
              </w:rPr>
              <w:t> </w:t>
            </w:r>
          </w:p>
        </w:tc>
        <w:tc>
          <w:tcPr>
            <w:tcW w:w="935" w:type="dxa"/>
            <w:tcBorders/>
            <w:vAlign w:val="center"/>
          </w:tcPr>
          <w:p>
            <w:pPr>
              <w:pStyle w:val="TableContents"/>
              <w:bidi w:val="0"/>
              <w:spacing w:before="0" w:after="283"/>
              <w:jc w:val="right"/>
              <w:rPr>
                <w:b/>
                <w:color w:val="000000"/>
              </w:rPr>
            </w:pPr>
            <w:r>
              <w:rPr>
                <w:b/>
                <w:color w:val="000000"/>
              </w:rPr>
              <w:t>12</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355" w:type="dxa"/>
            <w:tcBorders/>
            <w:vAlign w:val="center"/>
          </w:tcPr>
          <w:p>
            <w:pPr>
              <w:pStyle w:val="TableContents"/>
              <w:bidi w:val="0"/>
              <w:spacing w:before="0" w:after="283"/>
              <w:jc w:val="right"/>
              <w:rPr>
                <w:color w:val="000000"/>
              </w:rPr>
            </w:pPr>
            <w:r>
              <w:rPr>
                <w:color w:val="000000"/>
              </w:rPr>
              <w:t>16</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(4</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color w:val="000000"/>
              </w:rPr>
            </w:pPr>
            <w:r>
              <w:rPr>
                <w:color w:val="000000"/>
              </w:rPr>
              <w:t> </w:t>
            </w:r>
          </w:p>
        </w:tc>
        <w:tc>
          <w:tcPr>
            <w:tcW w:w="1100" w:type="dxa"/>
            <w:tcBorders/>
            <w:vAlign w:val="center"/>
          </w:tcPr>
          <w:p>
            <w:pPr>
              <w:pStyle w:val="TableContents"/>
              <w:bidi w:val="0"/>
              <w:spacing w:before="0" w:after="283"/>
              <w:jc w:val="right"/>
              <w:rPr>
                <w:color w:val="000000"/>
              </w:rPr>
            </w:pPr>
            <w:r>
              <w:rPr>
                <w:color w:val="000000"/>
              </w:rPr>
              <w:t>(25</w:t>
            </w:r>
          </w:p>
        </w:tc>
        <w:tc>
          <w:tcPr>
            <w:tcW w:w="365" w:type="dxa"/>
            <w:tcBorders/>
            <w:vAlign w:val="center"/>
          </w:tcPr>
          <w:p>
            <w:pPr>
              <w:pStyle w:val="TableContents"/>
              <w:bidi w:val="0"/>
              <w:spacing w:before="0" w:after="283"/>
              <w:jc w:val="left"/>
              <w:rPr>
                <w:color w:val="000000"/>
              </w:rPr>
            </w:pPr>
            <w:r>
              <w:rPr>
                <w:color w:val="000000"/>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xml:space="preserve">  The net sales increase included revenue from the Transaction of $124 million partially offset by decreased selling prices of $8 million, a $9 million unfavorable impact from foreign currency changes and a 6% organic volume decline which was primarily attributed to competitive pressures from imports in South America.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w:t>
      </w:r>
      <w:r>
        <w:rPr>
          <w:rFonts w:ascii="Times New Roman" w:hAnsi="Times New Roman"/>
          <w:sz w:val="18"/>
        </w:rPr>
        <w:t xml:space="preserve">The operating income decline included a $5 million unfavorable impact from increased business integration costs, a $3 million unfavorable impact from the volume decline, a $3 million increase in stock compensation expense and an unfavorable impact from price cost spread of $5 million, partially offset by the elimination of $6 million in corporate expense allocations in Prior Quarter and income from the acquired GLT business of $5 million.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Rest of World</w:t>
      </w:r>
      <w:r>
        <w:rPr>
          <w:rFonts w:ascii="Times New Roman" w:hAnsi="Times New Roman"/>
          <w:sz w:val="18"/>
        </w:rPr>
        <w:t xml:space="preserve"> </w:t>
      </w:r>
    </w:p>
    <w:tbl>
      <w:tblPr>
        <w:tblW w:w="7666" w:type="dxa"/>
        <w:jc w:val="left"/>
        <w:tblInd w:w="0" w:type="dxa"/>
        <w:tblLayout w:type="fixed"/>
        <w:tblCellMar>
          <w:top w:w="0" w:type="dxa"/>
          <w:left w:w="0" w:type="dxa"/>
          <w:bottom w:w="0" w:type="dxa"/>
          <w:right w:w="0" w:type="dxa"/>
        </w:tblCellMar>
      </w:tblPr>
      <w:tblGrid>
        <w:gridCol w:w="1820"/>
        <w:gridCol w:w="170"/>
        <w:gridCol w:w="935"/>
        <w:gridCol w:w="90"/>
        <w:gridCol w:w="90"/>
        <w:gridCol w:w="170"/>
        <w:gridCol w:w="1355"/>
        <w:gridCol w:w="90"/>
        <w:gridCol w:w="90"/>
        <w:gridCol w:w="170"/>
        <w:gridCol w:w="1025"/>
        <w:gridCol w:w="90"/>
        <w:gridCol w:w="90"/>
        <w:gridCol w:w="91"/>
        <w:gridCol w:w="1100"/>
        <w:gridCol w:w="290"/>
      </w:tblGrid>
      <w:tr>
        <w:trPr/>
        <w:tc>
          <w:tcPr>
            <w:tcW w:w="18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35" w:type="dxa"/>
            <w:tcBorders>
              <w:bottom w:val="single" w:sz="2" w:space="0" w:color="000000"/>
            </w:tcBorders>
            <w:tcMar>
              <w:bottom w:w="28" w:type="dxa"/>
            </w:tcMar>
            <w:vAlign w:val="center"/>
          </w:tcPr>
          <w:p>
            <w:pPr>
              <w:pStyle w:val="TableContents"/>
              <w:bidi w:val="0"/>
              <w:spacing w:before="0" w:after="283"/>
              <w:jc w:val="center"/>
              <w:rPr/>
            </w:pPr>
            <w:r>
              <w:rPr>
                <w:b/>
                <w:color w:val="000000"/>
              </w:rPr>
              <w:t>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355" w:type="dxa"/>
            <w:tcBorders>
              <w:bottom w:val="single" w:sz="8" w:space="0" w:color="000000"/>
            </w:tcBorders>
            <w:tcMar>
              <w:bottom w:w="28" w:type="dxa"/>
            </w:tcMar>
            <w:vAlign w:val="center"/>
          </w:tcPr>
          <w:p>
            <w:pPr>
              <w:pStyle w:val="TableContents"/>
              <w:bidi w:val="0"/>
              <w:spacing w:before="0" w:after="283"/>
              <w:jc w:val="center"/>
              <w:rPr/>
            </w:pPr>
            <w:r>
              <w:rPr>
                <w:color w:val="000000"/>
              </w:rPr>
              <w:t>Prior Quarter</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29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9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366</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35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168</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198</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118</w:t>
            </w:r>
          </w:p>
        </w:tc>
        <w:tc>
          <w:tcPr>
            <w:tcW w:w="2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820" w:type="dxa"/>
            <w:tcBorders/>
            <w:vAlign w:val="center"/>
          </w:tcPr>
          <w:p>
            <w:pPr>
              <w:pStyle w:val="TableContents"/>
              <w:bidi w:val="0"/>
              <w:spacing w:before="0" w:after="0"/>
              <w:jc w:val="left"/>
              <w:rPr>
                <w:color w:val="000000"/>
              </w:rPr>
            </w:pPr>
            <w:r>
              <w:rPr>
                <w:color w:val="000000"/>
              </w:rPr>
              <w:t xml:space="preserve">Operating income </w:t>
            </w:r>
          </w:p>
        </w:tc>
        <w:tc>
          <w:tcPr>
            <w:tcW w:w="170" w:type="dxa"/>
            <w:tcBorders/>
            <w:vAlign w:val="center"/>
          </w:tcPr>
          <w:p>
            <w:pPr>
              <w:pStyle w:val="TableContents"/>
              <w:bidi w:val="0"/>
              <w:spacing w:before="0" w:after="283"/>
              <w:jc w:val="left"/>
              <w:rPr>
                <w:color w:val="000000"/>
              </w:rPr>
            </w:pPr>
            <w:r>
              <w:rPr>
                <w:color w:val="000000"/>
              </w:rPr>
              <w:t> </w:t>
            </w:r>
          </w:p>
        </w:tc>
        <w:tc>
          <w:tcPr>
            <w:tcW w:w="935" w:type="dxa"/>
            <w:tcBorders/>
            <w:vAlign w:val="center"/>
          </w:tcPr>
          <w:p>
            <w:pPr>
              <w:pStyle w:val="TableContents"/>
              <w:bidi w:val="0"/>
              <w:spacing w:before="0" w:after="283"/>
              <w:jc w:val="right"/>
              <w:rPr>
                <w:b/>
                <w:color w:val="000000"/>
              </w:rPr>
            </w:pPr>
            <w:r>
              <w:rPr>
                <w:b/>
                <w:color w:val="000000"/>
              </w:rPr>
              <w:t>1</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355" w:type="dxa"/>
            <w:tcBorders/>
            <w:vAlign w:val="center"/>
          </w:tcPr>
          <w:p>
            <w:pPr>
              <w:pStyle w:val="TableContents"/>
              <w:bidi w:val="0"/>
              <w:spacing w:before="0" w:after="283"/>
              <w:jc w:val="right"/>
              <w:rPr>
                <w:color w:val="000000"/>
              </w:rPr>
            </w:pPr>
            <w:r>
              <w:rPr>
                <w:color w:val="000000"/>
              </w:rPr>
              <w:t>1</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 xml:space="preserve">— </w:t>
            </w:r>
          </w:p>
        </w:tc>
        <w:tc>
          <w:tcPr>
            <w:tcW w:w="90"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right"/>
              <w:rPr/>
            </w:pPr>
            <w:r>
              <w:rPr/>
              <w:t> </w:t>
            </w:r>
          </w:p>
        </w:tc>
        <w:tc>
          <w:tcPr>
            <w:tcW w:w="1100" w:type="dxa"/>
            <w:tcBorders/>
            <w:vAlign w:val="center"/>
          </w:tcPr>
          <w:p>
            <w:pPr>
              <w:pStyle w:val="TableContents"/>
              <w:bidi w:val="0"/>
              <w:spacing w:before="0" w:after="283"/>
              <w:jc w:val="right"/>
              <w:rPr>
                <w:color w:val="000000"/>
              </w:rPr>
            </w:pPr>
            <w:r>
              <w:rPr>
                <w:color w:val="000000"/>
              </w:rPr>
              <w:t>—</w:t>
            </w:r>
          </w:p>
        </w:tc>
        <w:tc>
          <w:tcPr>
            <w:tcW w:w="290" w:type="dxa"/>
            <w:tcBorders/>
            <w:vAlign w:val="center"/>
          </w:tcPr>
          <w:p>
            <w:pPr>
              <w:pStyle w:val="TableContents"/>
              <w:bidi w:val="0"/>
              <w:spacing w:before="0" w:after="283"/>
              <w:jc w:val="righ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xml:space="preserve">  The net sales increase included revenue from the Transaction of $196 million and a $7 million favorable impact from foreign currency changes, partially offset by a 3% organic volume decline which was primarily attributed to general market softness in Europe.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w:t>
      </w:r>
      <w:r>
        <w:rPr>
          <w:rFonts w:ascii="Times New Roman" w:hAnsi="Times New Roman"/>
          <w:sz w:val="18"/>
        </w:rPr>
        <w:t xml:space="preserve">The operating income decline included a $3 million unfavorable impact from increased business integration costs partially offset by the elimination of corporate expense allocations in Prior Quarter.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 xml:space="preserve">Interest expense: </w:t>
      </w:r>
      <w:r>
        <w:rPr>
          <w:rFonts w:ascii="Times New Roman" w:hAnsi="Times New Roman"/>
          <w:sz w:val="18"/>
        </w:rPr>
        <w:t xml:space="preserve">The interest expense increase is primarily attributed to debt that was incurred concurrently with the closing of the Transaction.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Changes in Comprehensive Income</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$50 million increase in comprehensive income from the Prior Quarter is attributed to a $87 million favorable change in currency translation offset by a $37 million increased net loss.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Quarter is primarily attributed to the change in the forward foreign exchange curves between measurement dates.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- 14 -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r>
        <w:rPr>
          <w:rFonts w:ascii="Times New Roman" w:hAnsi="Times New Roman"/>
          <w:b/>
          <w:sz w:val="18"/>
        </w:rPr>
        <w:t>Comparison of the Three Quarterly Periods Ended June 28, 2025 (the “YTD”) and the Three Quarterly Periods Ended June 29, 2024 (the “Prior YTD”)</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Business integration expenses consist of restructuring and impairment charges, acquisition/merger related costs, and other business optimization costs.  Tables present dollars in millions.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Consolidated Overview</w:t>
      </w:r>
      <w:r>
        <w:rPr>
          <w:rFonts w:ascii="Times New Roman" w:hAnsi="Times New Roman"/>
          <w:sz w:val="18"/>
        </w:rPr>
        <w:t xml:space="preserve"> </w:t>
      </w:r>
    </w:p>
    <w:tbl>
      <w:tblPr>
        <w:tblW w:w="7991" w:type="dxa"/>
        <w:jc w:val="left"/>
        <w:tblInd w:w="0" w:type="dxa"/>
        <w:tblLayout w:type="fixed"/>
        <w:tblCellMar>
          <w:top w:w="0" w:type="dxa"/>
          <w:left w:w="0" w:type="dxa"/>
          <w:bottom w:w="0" w:type="dxa"/>
          <w:right w:w="0" w:type="dxa"/>
        </w:tblCellMar>
      </w:tblPr>
      <w:tblGrid>
        <w:gridCol w:w="2390"/>
        <w:gridCol w:w="170"/>
        <w:gridCol w:w="635"/>
        <w:gridCol w:w="185"/>
        <w:gridCol w:w="90"/>
        <w:gridCol w:w="170"/>
        <w:gridCol w:w="1145"/>
        <w:gridCol w:w="90"/>
        <w:gridCol w:w="90"/>
        <w:gridCol w:w="170"/>
        <w:gridCol w:w="1025"/>
        <w:gridCol w:w="185"/>
        <w:gridCol w:w="90"/>
        <w:gridCol w:w="91"/>
        <w:gridCol w:w="1100"/>
        <w:gridCol w:w="365"/>
      </w:tblGrid>
      <w:tr>
        <w:trPr/>
        <w:tc>
          <w:tcPr>
            <w:tcW w:w="23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35" w:type="dxa"/>
            <w:tcBorders>
              <w:bottom w:val="single" w:sz="2" w:space="0" w:color="000000"/>
            </w:tcBorders>
            <w:tcMar>
              <w:bottom w:w="28" w:type="dxa"/>
            </w:tcMar>
            <w:vAlign w:val="center"/>
          </w:tcPr>
          <w:p>
            <w:pPr>
              <w:pStyle w:val="TableContents"/>
              <w:bidi w:val="0"/>
              <w:spacing w:before="0" w:after="283"/>
              <w:jc w:val="center"/>
              <w:rPr/>
            </w:pPr>
            <w:r>
              <w:rPr>
                <w:b/>
                <w:color w:val="000000"/>
              </w:rPr>
              <w:t>YTD</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pPr>
            <w:r>
              <w:rPr>
                <w:color w:val="000000"/>
              </w:rPr>
              <w:t>Prior YTD</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36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239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6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2,365</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14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1,633</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732</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45</w:t>
            </w:r>
          </w:p>
        </w:tc>
        <w:tc>
          <w:tcPr>
            <w:tcW w:w="36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2390" w:type="dxa"/>
            <w:tcBorders/>
            <w:vAlign w:val="center"/>
          </w:tcPr>
          <w:p>
            <w:pPr>
              <w:pStyle w:val="TableContents"/>
              <w:bidi w:val="0"/>
              <w:spacing w:before="0" w:after="0"/>
              <w:jc w:val="left"/>
              <w:rPr/>
            </w:pPr>
            <w:r>
              <w:rPr/>
              <w:t xml:space="preserve">Operating income (loss) </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b/>
              </w:rPr>
            </w:pPr>
            <w:r>
              <w:rPr>
                <w:b/>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(119</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Net sales: </w:t>
      </w:r>
      <w:r>
        <w:rPr>
          <w:rFonts w:ascii="Times New Roman" w:hAnsi="Times New Roman"/>
          <w:sz w:val="18"/>
        </w:rPr>
        <w:t xml:space="preserve">  The net sales increase included revenue from the Transaction of $817 million, which was partially offset by a $42 million unfavorable impact from foreign currency changes and a 2% organic volume decline which was attributed to general market softness in Europe and competitive pressures from imports in South America.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(loss): </w:t>
      </w:r>
      <w:r>
        <w:rPr>
          <w:rFonts w:ascii="Times New Roman" w:hAnsi="Times New Roman"/>
          <w:sz w:val="18"/>
        </w:rPr>
        <w:t xml:space="preserve">The operating loss increase included a $12 million inventory fair value step-up charge, a $25 million unfavorable impact from increased business integration costs, a $7 million unfavorable impact from foreign currency changes and an $11 million increase in stock compensation expense partially offset by a $15 million favorable change from prior year hyperinflation in our Argentinian subsidiary and the elimination of $14 million in corporate expense allocations in Prior Year.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Americas</w:t>
      </w:r>
      <w:r>
        <w:rPr>
          <w:rFonts w:ascii="Times New Roman" w:hAnsi="Times New Roman"/>
          <w:sz w:val="18"/>
        </w:rPr>
        <w:t xml:space="preserve"> </w:t>
      </w:r>
    </w:p>
    <w:tbl>
      <w:tblPr>
        <w:tblW w:w="7326" w:type="dxa"/>
        <w:jc w:val="left"/>
        <w:tblInd w:w="0" w:type="dxa"/>
        <w:tblLayout w:type="fixed"/>
        <w:tblCellMar>
          <w:top w:w="0" w:type="dxa"/>
          <w:left w:w="0" w:type="dxa"/>
          <w:bottom w:w="0" w:type="dxa"/>
          <w:right w:w="0" w:type="dxa"/>
        </w:tblCellMar>
      </w:tblPr>
      <w:tblGrid>
        <w:gridCol w:w="1820"/>
        <w:gridCol w:w="170"/>
        <w:gridCol w:w="635"/>
        <w:gridCol w:w="90"/>
        <w:gridCol w:w="90"/>
        <w:gridCol w:w="170"/>
        <w:gridCol w:w="1145"/>
        <w:gridCol w:w="90"/>
        <w:gridCol w:w="90"/>
        <w:gridCol w:w="170"/>
        <w:gridCol w:w="1025"/>
        <w:gridCol w:w="185"/>
        <w:gridCol w:w="90"/>
        <w:gridCol w:w="91"/>
        <w:gridCol w:w="1100"/>
        <w:gridCol w:w="365"/>
      </w:tblGrid>
      <w:tr>
        <w:trPr/>
        <w:tc>
          <w:tcPr>
            <w:tcW w:w="182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35" w:type="dxa"/>
            <w:tcBorders>
              <w:bottom w:val="single" w:sz="2" w:space="0" w:color="000000"/>
            </w:tcBorders>
            <w:tcMar>
              <w:bottom w:w="28" w:type="dxa"/>
            </w:tcMar>
            <w:vAlign w:val="center"/>
          </w:tcPr>
          <w:p>
            <w:pPr>
              <w:pStyle w:val="TableContents"/>
              <w:bidi w:val="0"/>
              <w:spacing w:before="0" w:after="283"/>
              <w:jc w:val="center"/>
              <w:rPr/>
            </w:pPr>
            <w:r>
              <w:rPr>
                <w:b/>
                <w:color w:val="000000"/>
              </w:rPr>
              <w:t>YTD</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pPr>
            <w:r>
              <w:rPr>
                <w:color w:val="000000"/>
              </w:rPr>
              <w:t>Prior YTD</w:t>
            </w:r>
            <w:r>
              <w:rPr/>
              <w:t xml:space="preserve">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36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82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6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1,366</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14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1,111</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255</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pPr>
            <w:r>
              <w:rPr/>
              <w:t> </w:t>
            </w:r>
          </w:p>
        </w:tc>
        <w:tc>
          <w:tcPr>
            <w:tcW w:w="91" w:type="dxa"/>
            <w:tcBorders>
              <w:top w:val="single" w:sz="8" w:space="0" w:color="000000"/>
            </w:tcBorders>
            <w:tcMar>
              <w:top w:w="28" w:type="dxa"/>
            </w:tcMar>
            <w:vAlign w:val="center"/>
          </w:tcPr>
          <w:p>
            <w:pPr>
              <w:pStyle w:val="TableContents"/>
              <w:bidi w:val="0"/>
              <w:spacing w:before="0" w:after="283"/>
              <w:ind w:left="0" w:right="0" w:firstLine="1"/>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23</w:t>
            </w:r>
          </w:p>
        </w:tc>
        <w:tc>
          <w:tcPr>
            <w:tcW w:w="36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820" w:type="dxa"/>
            <w:tcBorders/>
            <w:vAlign w:val="center"/>
          </w:tcPr>
          <w:p>
            <w:pPr>
              <w:pStyle w:val="TableContents"/>
              <w:bidi w:val="0"/>
              <w:spacing w:before="0" w:after="0"/>
              <w:jc w:val="left"/>
              <w:rPr/>
            </w:pPr>
            <w:r>
              <w:rPr/>
              <w:t xml:space="preserve">Operating income </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b/>
              </w:rPr>
            </w:pPr>
            <w:r>
              <w:rPr>
                <w:b/>
              </w:rPr>
              <w:t>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33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(60</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xml:space="preserve">  The net sales increase included revenue from the Transaction of $318 million partially offset by a $37 million unfavorable impact from foreign currency changes and a 2% organic volume decline which was primarily attributed to competitive pressures from imports in South America.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income: </w:t>
      </w:r>
      <w:r>
        <w:rPr>
          <w:rFonts w:ascii="Times New Roman" w:hAnsi="Times New Roman"/>
          <w:sz w:val="18"/>
        </w:rPr>
        <w:t xml:space="preserve">The operating income decrease included a $23 million unfavorable impact from increased business integration costs, a $5 million inventory fair value step-up charge, a $6 million unfavorable impact from foreign currency changes, a $6 million increase in stock compensation expense and $6 million unfavorable price cost spread partially offset by a $15 million favorable change from prior year hyperinflation in our Argentinian subsidiary and the elimination of $12 million in corporate expense allocations in Prior Year.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Rest of World</w:t>
      </w:r>
      <w:r>
        <w:rPr>
          <w:rFonts w:ascii="Times New Roman" w:hAnsi="Times New Roman"/>
          <w:sz w:val="18"/>
        </w:rPr>
        <w:t xml:space="preserve"> </w:t>
      </w:r>
    </w:p>
    <w:tbl>
      <w:tblPr>
        <w:tblW w:w="7185" w:type="dxa"/>
        <w:jc w:val="left"/>
        <w:tblInd w:w="0" w:type="dxa"/>
        <w:tblLayout w:type="fixed"/>
        <w:tblCellMar>
          <w:top w:w="0" w:type="dxa"/>
          <w:left w:w="0" w:type="dxa"/>
          <w:bottom w:w="0" w:type="dxa"/>
          <w:right w:w="0" w:type="dxa"/>
        </w:tblCellMar>
      </w:tblPr>
      <w:tblGrid>
        <w:gridCol w:w="1490"/>
        <w:gridCol w:w="170"/>
        <w:gridCol w:w="635"/>
        <w:gridCol w:w="185"/>
        <w:gridCol w:w="90"/>
        <w:gridCol w:w="170"/>
        <w:gridCol w:w="1145"/>
        <w:gridCol w:w="185"/>
        <w:gridCol w:w="90"/>
        <w:gridCol w:w="170"/>
        <w:gridCol w:w="1025"/>
        <w:gridCol w:w="185"/>
        <w:gridCol w:w="90"/>
        <w:gridCol w:w="90"/>
        <w:gridCol w:w="1100"/>
        <w:gridCol w:w="365"/>
      </w:tblGrid>
      <w:tr>
        <w:trPr/>
        <w:tc>
          <w:tcPr>
            <w:tcW w:w="14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635" w:type="dxa"/>
            <w:tcBorders>
              <w:bottom w:val="single" w:sz="2" w:space="0" w:color="000000"/>
            </w:tcBorders>
            <w:tcMar>
              <w:bottom w:w="28" w:type="dxa"/>
            </w:tcMar>
            <w:vAlign w:val="center"/>
          </w:tcPr>
          <w:p>
            <w:pPr>
              <w:pStyle w:val="TableContents"/>
              <w:bidi w:val="0"/>
              <w:spacing w:before="0" w:after="283"/>
              <w:jc w:val="center"/>
              <w:rPr/>
            </w:pPr>
            <w:r>
              <w:rPr>
                <w:b/>
                <w:color w:val="000000"/>
              </w:rPr>
              <w:t>YTD</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45" w:type="dxa"/>
            <w:tcBorders>
              <w:bottom w:val="single" w:sz="8" w:space="0" w:color="000000"/>
            </w:tcBorders>
            <w:tcMar>
              <w:bottom w:w="28" w:type="dxa"/>
            </w:tcMar>
            <w:vAlign w:val="center"/>
          </w:tcPr>
          <w:p>
            <w:pPr>
              <w:pStyle w:val="TableContents"/>
              <w:bidi w:val="0"/>
              <w:spacing w:before="0" w:after="283"/>
              <w:jc w:val="center"/>
              <w:rPr/>
            </w:pPr>
            <w:r>
              <w:rPr>
                <w:color w:val="000000"/>
              </w:rPr>
              <w:t>Prior YTD</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185" w:type="dxa"/>
            <w:tcBorders>
              <w:bottom w:val="single" w:sz="8"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pPr>
            <w:r>
              <w:rPr>
                <w:color w:val="000000"/>
              </w:rPr>
              <w:t>% Change</w:t>
            </w:r>
            <w:r>
              <w:rPr/>
              <w:t xml:space="preserve"> </w:t>
            </w:r>
          </w:p>
        </w:tc>
        <w:tc>
          <w:tcPr>
            <w:tcW w:w="365"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1490" w:type="dxa"/>
            <w:tcBorders/>
            <w:vAlign w:val="center"/>
          </w:tcPr>
          <w:p>
            <w:pPr>
              <w:pStyle w:val="TableContents"/>
              <w:bidi w:val="0"/>
              <w:spacing w:before="0" w:after="0"/>
              <w:jc w:val="left"/>
              <w:rPr/>
            </w:pPr>
            <w:r>
              <w:rPr>
                <w:color w:val="000000"/>
              </w:rPr>
              <w:t>Net sales</w:t>
            </w:r>
            <w:r>
              <w:rPr/>
              <w:t xml:space="preserve"> </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63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999</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14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522</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c>
          <w:tcPr>
            <w:tcW w:w="1025"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477</w:t>
            </w:r>
          </w:p>
        </w:tc>
        <w:tc>
          <w:tcPr>
            <w:tcW w:w="18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pPr>
            <w:r>
              <w:rPr/>
              <w:t> </w:t>
            </w:r>
          </w:p>
        </w:tc>
        <w:tc>
          <w:tcPr>
            <w:tcW w:w="9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c>
          <w:tcPr>
            <w:tcW w:w="1100" w:type="dxa"/>
            <w:tcBorders>
              <w:top w:val="single" w:sz="8" w:space="0" w:color="000000"/>
            </w:tcBorders>
            <w:tcMar>
              <w:top w:w="28" w:type="dxa"/>
            </w:tcMar>
            <w:vAlign w:val="center"/>
          </w:tcPr>
          <w:p>
            <w:pPr>
              <w:pStyle w:val="TableContents"/>
              <w:bidi w:val="0"/>
              <w:spacing w:before="0" w:after="283"/>
              <w:jc w:val="right"/>
              <w:rPr>
                <w:color w:val="000000"/>
              </w:rPr>
            </w:pPr>
            <w:r>
              <w:rPr>
                <w:color w:val="000000"/>
              </w:rPr>
              <w:t>91</w:t>
            </w:r>
          </w:p>
        </w:tc>
        <w:tc>
          <w:tcPr>
            <w:tcW w:w="365"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w:t>
            </w:r>
          </w:p>
        </w:tc>
      </w:tr>
      <w:tr>
        <w:trPr/>
        <w:tc>
          <w:tcPr>
            <w:tcW w:w="1490" w:type="dxa"/>
            <w:tcBorders/>
            <w:vAlign w:val="center"/>
          </w:tcPr>
          <w:p>
            <w:pPr>
              <w:pStyle w:val="TableContents"/>
              <w:bidi w:val="0"/>
              <w:spacing w:before="0" w:after="0"/>
              <w:jc w:val="left"/>
              <w:rPr/>
            </w:pPr>
            <w:r>
              <w:rPr>
                <w:color w:val="000000"/>
              </w:rPr>
              <w:t>Operating loss</w:t>
            </w:r>
            <w:r>
              <w:rPr/>
              <w:t xml:space="preserve"> </w:t>
            </w:r>
          </w:p>
        </w:tc>
        <w:tc>
          <w:tcPr>
            <w:tcW w:w="170" w:type="dxa"/>
            <w:tcBorders/>
            <w:vAlign w:val="center"/>
          </w:tcPr>
          <w:p>
            <w:pPr>
              <w:pStyle w:val="TableContents"/>
              <w:bidi w:val="0"/>
              <w:spacing w:before="0" w:after="283"/>
              <w:jc w:val="left"/>
              <w:rPr>
                <w:color w:val="000000"/>
              </w:rPr>
            </w:pPr>
            <w:r>
              <w:rPr>
                <w:color w:val="000000"/>
              </w:rPr>
              <w:t> </w:t>
            </w:r>
          </w:p>
        </w:tc>
        <w:tc>
          <w:tcPr>
            <w:tcW w:w="635" w:type="dxa"/>
            <w:tcBorders/>
            <w:vAlign w:val="center"/>
          </w:tcPr>
          <w:p>
            <w:pPr>
              <w:pStyle w:val="TableContents"/>
              <w:bidi w:val="0"/>
              <w:spacing w:before="0" w:after="283"/>
              <w:jc w:val="right"/>
              <w:rPr>
                <w:b/>
                <w:color w:val="000000"/>
              </w:rPr>
            </w:pPr>
            <w:r>
              <w:rPr>
                <w:b/>
                <w:color w:val="000000"/>
              </w:rPr>
              <w:t>(18</w:t>
            </w:r>
          </w:p>
        </w:tc>
        <w:tc>
          <w:tcPr>
            <w:tcW w:w="185" w:type="dxa"/>
            <w:tcBorders/>
            <w:vAlign w:val="center"/>
          </w:tcPr>
          <w:p>
            <w:pPr>
              <w:pStyle w:val="TableContents"/>
              <w:bidi w:val="0"/>
              <w:spacing w:before="0" w:after="283"/>
              <w:jc w:val="left"/>
              <w:rPr>
                <w:b/>
                <w:color w:val="000000"/>
              </w:rPr>
            </w:pPr>
            <w:r>
              <w:rPr>
                <w:b/>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145" w:type="dxa"/>
            <w:tcBorders/>
            <w:vAlign w:val="center"/>
          </w:tcPr>
          <w:p>
            <w:pPr>
              <w:pStyle w:val="TableContents"/>
              <w:bidi w:val="0"/>
              <w:spacing w:before="0" w:after="283"/>
              <w:jc w:val="right"/>
              <w:rPr>
                <w:color w:val="000000"/>
              </w:rPr>
            </w:pPr>
            <w:r>
              <w:rPr>
                <w:color w:val="000000"/>
              </w:rPr>
              <w:t>(7</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olor w:val="000000"/>
              </w:rPr>
            </w:pPr>
            <w:r>
              <w:rPr>
                <w:color w:val="000000"/>
              </w:rPr>
              <w:t> </w:t>
            </w:r>
          </w:p>
        </w:tc>
        <w:tc>
          <w:tcPr>
            <w:tcW w:w="1025" w:type="dxa"/>
            <w:tcBorders/>
            <w:vAlign w:val="center"/>
          </w:tcPr>
          <w:p>
            <w:pPr>
              <w:pStyle w:val="TableContents"/>
              <w:bidi w:val="0"/>
              <w:spacing w:before="0" w:after="283"/>
              <w:jc w:val="right"/>
              <w:rPr>
                <w:color w:val="000000"/>
              </w:rPr>
            </w:pPr>
            <w:r>
              <w:rPr>
                <w:color w:val="000000"/>
              </w:rPr>
              <w:t>(11</w:t>
            </w:r>
          </w:p>
        </w:tc>
        <w:tc>
          <w:tcPr>
            <w:tcW w:w="185" w:type="dxa"/>
            <w:tcBorders/>
            <w:vAlign w:val="center"/>
          </w:tcPr>
          <w:p>
            <w:pPr>
              <w:pStyle w:val="TableContents"/>
              <w:bidi w:val="0"/>
              <w:spacing w:before="0" w:after="283"/>
              <w:jc w:val="left"/>
              <w:rPr>
                <w:color w:val="000000"/>
              </w:rPr>
            </w:pPr>
            <w:r>
              <w:rPr>
                <w:color w:val="000000"/>
              </w:rPr>
              <w:t>) </w:t>
            </w:r>
          </w:p>
        </w:tc>
        <w:tc>
          <w:tcPr>
            <w:tcW w:w="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color w:val="000000"/>
              </w:rPr>
            </w:pPr>
            <w:r>
              <w:rPr>
                <w:color w:val="000000"/>
              </w:rPr>
              <w:t> </w:t>
            </w:r>
          </w:p>
        </w:tc>
        <w:tc>
          <w:tcPr>
            <w:tcW w:w="1100" w:type="dxa"/>
            <w:tcBorders/>
            <w:vAlign w:val="center"/>
          </w:tcPr>
          <w:p>
            <w:pPr>
              <w:pStyle w:val="TableContents"/>
              <w:bidi w:val="0"/>
              <w:spacing w:before="0" w:after="283"/>
              <w:jc w:val="right"/>
              <w:rPr>
                <w:color w:val="000000"/>
              </w:rPr>
            </w:pPr>
            <w:r>
              <w:rPr>
                <w:color w:val="000000"/>
              </w:rPr>
              <w:t>(157</w:t>
            </w:r>
          </w:p>
        </w:tc>
        <w:tc>
          <w:tcPr>
            <w:tcW w:w="365" w:type="dxa"/>
            <w:tcBorders/>
            <w:vAlign w:val="center"/>
          </w:tcPr>
          <w:p>
            <w:pPr>
              <w:pStyle w:val="TableContents"/>
              <w:bidi w:val="0"/>
              <w:spacing w:before="0" w:after="283"/>
              <w:jc w:val="left"/>
              <w:rPr>
                <w:color w:val="000000"/>
              </w:rPr>
            </w:pPr>
            <w:r>
              <w:rPr>
                <w:color w:val="000000"/>
              </w:rPr>
              <w:t>)%</w:t>
            </w:r>
          </w:p>
        </w:tc>
      </w:tr>
    </w:tbl>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Net sales:</w:t>
      </w:r>
      <w:r>
        <w:rPr>
          <w:rFonts w:ascii="Times New Roman" w:hAnsi="Times New Roman"/>
          <w:sz w:val="18"/>
        </w:rPr>
        <w:t xml:space="preserve">  The net sales increase included revenue from the Transaction of $499 million partially offset by a 3% organic volume decline which was primarily attributed to general market softness in Europe.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 xml:space="preserve">Operating loss: </w:t>
      </w:r>
      <w:r>
        <w:rPr>
          <w:rFonts w:ascii="Times New Roman" w:hAnsi="Times New Roman"/>
          <w:sz w:val="18"/>
        </w:rPr>
        <w:t xml:space="preserve">The operating loss increase included a $7 million inventory fair value step-up charge, losses from the acquired Glatfelter business of $6 million and a $5 million increase in stock compensation expense partially offset by a $6 million favorable impact from price cost spread.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 xml:space="preserve">Other expense: </w:t>
      </w:r>
      <w:r>
        <w:rPr>
          <w:rFonts w:ascii="Times New Roman" w:hAnsi="Times New Roman"/>
          <w:sz w:val="18"/>
        </w:rPr>
        <w:t xml:space="preserve">The increase in other expense is due to a $15 million prepayment penalty charge for retiring debt concurrently with the Transaction, $8 million of non-cash charges associated with pre-Transaction tax liabilities, and currency losses related to intercompany loans.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i/>
          <w:sz w:val="18"/>
        </w:rPr>
        <w:t xml:space="preserve">Interest expense: </w:t>
      </w:r>
      <w:r>
        <w:rPr>
          <w:rFonts w:ascii="Times New Roman" w:hAnsi="Times New Roman"/>
          <w:sz w:val="18"/>
        </w:rPr>
        <w:t xml:space="preserve">The interest expense increase is primarily attributed to debt that was incurred concurrently with the closing of the Transaction.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- 15 -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r>
        <w:rPr>
          <w:rFonts w:ascii="Times New Roman" w:hAnsi="Times New Roman"/>
          <w:b/>
          <w:i/>
          <w:sz w:val="18"/>
        </w:rPr>
        <w:t>Changes in Comprehensive Income</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$121 million decline in comprehensive income from the Prior YTD is attributed to a $23 million favorable change in currency translation and a $144 million increased net loss.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quarter is primarily attributed to the change in the forward foreign exchange curves between measurement dates. </w:t>
      </w:r>
    </w:p>
    <w:p>
      <w:pPr>
        <w:pStyle w:val="TextBody"/>
        <w:bidi w:val="0"/>
        <w:spacing w:before="0" w:after="0"/>
        <w:jc w:val="left"/>
        <w:rPr/>
      </w:pPr>
      <w:r>
        <w:rPr/>
        <w:t xml:space="preserve">  </w:t>
      </w:r>
    </w:p>
    <w:p>
      <w:pPr>
        <w:pStyle w:val="TextBody"/>
        <w:bidi w:val="0"/>
        <w:spacing w:before="0" w:after="0"/>
        <w:jc w:val="left"/>
        <w:rPr>
          <w:rFonts w:ascii="Times New Roman" w:hAnsi="Times New Roman"/>
          <w:b/>
          <w:i/>
          <w:sz w:val="18"/>
        </w:rPr>
      </w:pPr>
      <w:r>
        <w:rPr>
          <w:rFonts w:ascii="Times New Roman" w:hAnsi="Times New Roman"/>
          <w:b/>
          <w:i/>
          <w:sz w:val="18"/>
        </w:rPr>
        <w:t xml:space="preserve">Liquidity and Capital Resources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Senior Secured Credit Facility</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manage our global cash requirements considering (i) available funds among the many subsidiaries through which we conduct business, (ii) the geographic location of our liquidity needs, and (iii) the cost to access international cash balances.  At the end of the Quarter, the Company had no outstanding balance on its asset-based revolving line of credit that matures in November 2029. The Company was in compliance with all covenants at the end of the Quarter.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Cash Flows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Net cash from operating activities decreased $24 million from the Prior YTD primarily related to a decline in net income prior to non-cash activities primarily due to costs related to the Transaction.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Net cash from investing activities increased $34 million from the Prior YTD primarily attributed to cash acquired in connection with the Transaction and settlement of net investment hedges in the YTD compared to the settlement of short-term marketable securities in Prior YTD.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Net cash from financing activities increased $39 million from Prior YTD primarily attributed to higher transfers from Berry prior to the Transaction.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Free Cash Flow</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Our consolidated free cash flow for the YTD are summarized as follows: </w:t>
      </w:r>
    </w:p>
    <w:p>
      <w:pPr>
        <w:pStyle w:val="TextBody"/>
        <w:bidi w:val="0"/>
        <w:spacing w:before="0" w:after="0"/>
        <w:jc w:val="left"/>
        <w:rPr/>
      </w:pPr>
      <w:r>
        <w:rPr/>
        <w:t xml:space="preserve">  </w:t>
      </w:r>
    </w:p>
    <w:tbl>
      <w:tblPr>
        <w:tblW w:w="7535" w:type="dxa"/>
        <w:jc w:val="left"/>
        <w:tblInd w:w="0" w:type="dxa"/>
        <w:tblLayout w:type="fixed"/>
        <w:tblCellMar>
          <w:top w:w="0" w:type="dxa"/>
          <w:left w:w="0" w:type="dxa"/>
          <w:bottom w:w="0" w:type="dxa"/>
          <w:right w:w="0" w:type="dxa"/>
        </w:tblCellMar>
      </w:tblPr>
      <w:tblGrid>
        <w:gridCol w:w="5630"/>
        <w:gridCol w:w="170"/>
        <w:gridCol w:w="1505"/>
        <w:gridCol w:w="230"/>
      </w:tblGrid>
      <w:tr>
        <w:trPr/>
        <w:tc>
          <w:tcPr>
            <w:tcW w:w="563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505" w:type="dxa"/>
            <w:tcBorders>
              <w:bottom w:val="single" w:sz="2" w:space="0" w:color="000000"/>
            </w:tcBorders>
            <w:tcMar>
              <w:bottom w:w="28" w:type="dxa"/>
            </w:tcMar>
            <w:vAlign w:val="center"/>
          </w:tcPr>
          <w:p>
            <w:pPr>
              <w:pStyle w:val="TableContents"/>
              <w:bidi w:val="0"/>
              <w:spacing w:before="0" w:after="283"/>
              <w:jc w:val="center"/>
              <w:rPr/>
            </w:pPr>
            <w:r>
              <w:rPr>
                <w:b/>
                <w:color w:val="000000"/>
              </w:rPr>
              <w:t>June 28, 2025</w:t>
            </w:r>
            <w:r>
              <w:rPr/>
              <w:t xml:space="preserve"> </w:t>
            </w:r>
          </w:p>
        </w:tc>
        <w:tc>
          <w:tcPr>
            <w:tcW w:w="230" w:type="dxa"/>
            <w:tcBorders>
              <w:bottom w:val="single" w:sz="8" w:space="0" w:color="000000"/>
            </w:tcBorders>
            <w:tcMar>
              <w:bottom w:w="28" w:type="dxa"/>
            </w:tcMar>
            <w:vAlign w:val="center"/>
          </w:tcPr>
          <w:p>
            <w:pPr>
              <w:pStyle w:val="TableContents"/>
              <w:bidi w:val="0"/>
              <w:spacing w:before="0" w:after="283"/>
              <w:jc w:val="center"/>
              <w:rPr/>
            </w:pPr>
            <w:r>
              <w:rPr/>
              <w:t> </w:t>
            </w:r>
          </w:p>
        </w:tc>
      </w:tr>
      <w:tr>
        <w:trPr/>
        <w:tc>
          <w:tcPr>
            <w:tcW w:w="5630" w:type="dxa"/>
            <w:tcBorders/>
            <w:vAlign w:val="center"/>
          </w:tcPr>
          <w:p>
            <w:pPr>
              <w:pStyle w:val="TableContents"/>
              <w:bidi w:val="0"/>
              <w:spacing w:before="0" w:after="0"/>
              <w:jc w:val="left"/>
              <w:rPr>
                <w:color w:val="000000"/>
              </w:rPr>
            </w:pPr>
            <w:r>
              <w:rPr>
                <w:color w:val="000000"/>
              </w:rPr>
              <w:t>Cash flow from operating activities</w:t>
            </w:r>
          </w:p>
        </w:tc>
        <w:tc>
          <w:tcPr>
            <w:tcW w:w="170" w:type="dxa"/>
            <w:tcBorders>
              <w:top w:val="single" w:sz="8" w:space="0" w:color="000000"/>
            </w:tcBorders>
            <w:tcMar>
              <w:top w:w="28" w:type="dxa"/>
            </w:tcMar>
            <w:vAlign w:val="center"/>
          </w:tcPr>
          <w:p>
            <w:pPr>
              <w:pStyle w:val="TableContents"/>
              <w:bidi w:val="0"/>
              <w:spacing w:before="0" w:after="283"/>
              <w:jc w:val="left"/>
              <w:rPr>
                <w:b/>
                <w:color w:val="000000"/>
              </w:rPr>
            </w:pPr>
            <w:r>
              <w:rPr>
                <w:b/>
                <w:color w:val="000000"/>
              </w:rPr>
              <w:t>$</w:t>
            </w:r>
          </w:p>
        </w:tc>
        <w:tc>
          <w:tcPr>
            <w:tcW w:w="1505" w:type="dxa"/>
            <w:tcBorders>
              <w:top w:val="single" w:sz="8" w:space="0" w:color="000000"/>
            </w:tcBorders>
            <w:tcMar>
              <w:top w:w="28" w:type="dxa"/>
            </w:tcMar>
            <w:vAlign w:val="center"/>
          </w:tcPr>
          <w:p>
            <w:pPr>
              <w:pStyle w:val="TableContents"/>
              <w:bidi w:val="0"/>
              <w:spacing w:before="0" w:after="283"/>
              <w:jc w:val="right"/>
              <w:rPr>
                <w:b/>
                <w:color w:val="000000"/>
              </w:rPr>
            </w:pPr>
            <w:r>
              <w:rPr>
                <w:b/>
                <w:color w:val="000000"/>
              </w:rPr>
              <w:t>7</w:t>
            </w:r>
          </w:p>
        </w:tc>
        <w:tc>
          <w:tcPr>
            <w:tcW w:w="230" w:type="dxa"/>
            <w:tcBorders>
              <w:top w:val="single" w:sz="8" w:space="0" w:color="000000"/>
            </w:tcBorders>
            <w:tcMar>
              <w:top w:w="28" w:type="dxa"/>
            </w:tcMar>
            <w:vAlign w:val="center"/>
          </w:tcPr>
          <w:p>
            <w:pPr>
              <w:pStyle w:val="TableContents"/>
              <w:bidi w:val="0"/>
              <w:spacing w:before="0" w:after="283"/>
              <w:jc w:val="left"/>
              <w:rPr>
                <w:color w:val="000000"/>
              </w:rPr>
            </w:pPr>
            <w:r>
              <w:rPr>
                <w:color w:val="000000"/>
              </w:rPr>
              <w:t> </w:t>
            </w:r>
          </w:p>
        </w:tc>
      </w:tr>
      <w:tr>
        <w:trPr/>
        <w:tc>
          <w:tcPr>
            <w:tcW w:w="5630" w:type="dxa"/>
            <w:tcBorders/>
            <w:vAlign w:val="center"/>
          </w:tcPr>
          <w:p>
            <w:pPr>
              <w:pStyle w:val="TableContents"/>
              <w:bidi w:val="0"/>
              <w:spacing w:before="0" w:after="0"/>
              <w:jc w:val="left"/>
              <w:rPr/>
            </w:pPr>
            <w:r>
              <w:rPr/>
              <w:t>Pre-Transaction free cash flow from operating activities (1)</w:t>
            </w:r>
          </w:p>
        </w:tc>
        <w:tc>
          <w:tcPr>
            <w:tcW w:w="170" w:type="dxa"/>
            <w:tcBorders/>
            <w:vAlign w:val="center"/>
          </w:tcPr>
          <w:p>
            <w:pPr>
              <w:pStyle w:val="TableContents"/>
              <w:bidi w:val="0"/>
              <w:spacing w:before="0" w:after="283"/>
              <w:jc w:val="left"/>
              <w:rPr>
                <w:color w:val="000000"/>
              </w:rPr>
            </w:pPr>
            <w:r>
              <w:rPr>
                <w:color w:val="000000"/>
              </w:rPr>
              <w:t> </w:t>
            </w:r>
          </w:p>
        </w:tc>
        <w:tc>
          <w:tcPr>
            <w:tcW w:w="1505" w:type="dxa"/>
            <w:tcBorders/>
            <w:vAlign w:val="center"/>
          </w:tcPr>
          <w:p>
            <w:pPr>
              <w:pStyle w:val="TableContents"/>
              <w:bidi w:val="0"/>
              <w:spacing w:before="0" w:after="283"/>
              <w:jc w:val="right"/>
              <w:rPr>
                <w:b/>
                <w:color w:val="000000"/>
              </w:rPr>
            </w:pPr>
            <w:r>
              <w:rPr>
                <w:b/>
                <w:color w:val="000000"/>
              </w:rPr>
              <w:t>90</w:t>
            </w:r>
          </w:p>
        </w:tc>
        <w:tc>
          <w:tcPr>
            <w:tcW w:w="230" w:type="dxa"/>
            <w:tcBorders/>
            <w:vAlign w:val="center"/>
          </w:tcPr>
          <w:p>
            <w:pPr>
              <w:pStyle w:val="TableContents"/>
              <w:bidi w:val="0"/>
              <w:spacing w:before="0" w:after="283"/>
              <w:jc w:val="left"/>
              <w:rPr>
                <w:color w:val="000000"/>
              </w:rPr>
            </w:pPr>
            <w:r>
              <w:rPr>
                <w:color w:val="000000"/>
              </w:rPr>
              <w:t> </w:t>
            </w:r>
          </w:p>
        </w:tc>
      </w:tr>
      <w:tr>
        <w:trPr/>
        <w:tc>
          <w:tcPr>
            <w:tcW w:w="5630" w:type="dxa"/>
            <w:tcBorders/>
            <w:vAlign w:val="center"/>
          </w:tcPr>
          <w:p>
            <w:pPr>
              <w:pStyle w:val="TableContents"/>
              <w:bidi w:val="0"/>
              <w:spacing w:before="0" w:after="0"/>
              <w:jc w:val="left"/>
              <w:rPr/>
            </w:pPr>
            <w:r>
              <w:rPr>
                <w:color w:val="000000"/>
              </w:rPr>
              <w:t>Additions to property, plant and equipment</w:t>
            </w:r>
            <w:r>
              <w:rPr/>
              <w:t xml:space="preserve"> </w:t>
            </w:r>
          </w:p>
        </w:tc>
        <w:tc>
          <w:tcPr>
            <w:tcW w:w="170" w:type="dxa"/>
            <w:tcBorders>
              <w:bottom w:val="single" w:sz="8" w:space="0" w:color="000000"/>
            </w:tcBorders>
            <w:tcMar>
              <w:bottom w:w="28" w:type="dxa"/>
            </w:tcMar>
            <w:vAlign w:val="center"/>
          </w:tcPr>
          <w:p>
            <w:pPr>
              <w:pStyle w:val="TableContents"/>
              <w:bidi w:val="0"/>
              <w:spacing w:before="0" w:after="283"/>
              <w:jc w:val="left"/>
              <w:rPr>
                <w:color w:val="000000"/>
              </w:rPr>
            </w:pPr>
            <w:r>
              <w:rPr>
                <w:color w:val="000000"/>
              </w:rPr>
              <w:t> </w:t>
            </w:r>
          </w:p>
        </w:tc>
        <w:tc>
          <w:tcPr>
            <w:tcW w:w="1505" w:type="dxa"/>
            <w:tcBorders>
              <w:bottom w:val="single" w:sz="8" w:space="0" w:color="000000"/>
            </w:tcBorders>
            <w:tcMar>
              <w:bottom w:w="28" w:type="dxa"/>
            </w:tcMar>
            <w:vAlign w:val="center"/>
          </w:tcPr>
          <w:p>
            <w:pPr>
              <w:pStyle w:val="TableContents"/>
              <w:bidi w:val="0"/>
              <w:spacing w:before="0" w:after="283"/>
              <w:jc w:val="right"/>
              <w:rPr>
                <w:b/>
                <w:color w:val="000000"/>
              </w:rPr>
            </w:pPr>
            <w:r>
              <w:rPr>
                <w:b/>
                <w:color w:val="000000"/>
              </w:rPr>
              <w:t>(52</w:t>
            </w:r>
          </w:p>
        </w:tc>
        <w:tc>
          <w:tcPr>
            <w:tcW w:w="230" w:type="dxa"/>
            <w:tcBorders>
              <w:bottom w:val="single" w:sz="8" w:space="0" w:color="000000"/>
            </w:tcBorders>
            <w:tcMar>
              <w:bottom w:w="28" w:type="dxa"/>
            </w:tcMar>
            <w:vAlign w:val="center"/>
          </w:tcPr>
          <w:p>
            <w:pPr>
              <w:pStyle w:val="TableContents"/>
              <w:bidi w:val="0"/>
              <w:spacing w:before="0" w:after="283"/>
              <w:jc w:val="left"/>
              <w:rPr>
                <w:b/>
                <w:color w:val="000000"/>
              </w:rPr>
            </w:pPr>
            <w:r>
              <w:rPr>
                <w:b/>
                <w:color w:val="000000"/>
              </w:rPr>
              <w:t>) </w:t>
            </w:r>
          </w:p>
        </w:tc>
      </w:tr>
      <w:tr>
        <w:trPr/>
        <w:tc>
          <w:tcPr>
            <w:tcW w:w="5630" w:type="dxa"/>
            <w:tcBorders/>
            <w:vAlign w:val="center"/>
          </w:tcPr>
          <w:p>
            <w:pPr>
              <w:pStyle w:val="TableContents"/>
              <w:bidi w:val="0"/>
              <w:spacing w:before="0" w:after="0"/>
              <w:jc w:val="left"/>
              <w:rPr>
                <w:color w:val="000000"/>
              </w:rPr>
            </w:pPr>
            <w:r>
              <w:rPr>
                <w:color w:val="000000"/>
              </w:rPr>
              <w:t>Post-Transaction free cash flow</w:t>
            </w:r>
          </w:p>
        </w:tc>
        <w:tc>
          <w:tcPr>
            <w:tcW w:w="170"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b/>
                <w:color w:val="000000"/>
              </w:rPr>
            </w:pPr>
            <w:r>
              <w:rPr>
                <w:b/>
                <w:color w:val="000000"/>
              </w:rPr>
              <w:t>$</w:t>
            </w:r>
          </w:p>
        </w:tc>
        <w:tc>
          <w:tcPr>
            <w:tcW w:w="1505"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right"/>
              <w:rPr>
                <w:b/>
                <w:color w:val="000000"/>
              </w:rPr>
            </w:pPr>
            <w:r>
              <w:rPr>
                <w:b/>
                <w:color w:val="000000"/>
              </w:rPr>
              <w:t>45</w:t>
            </w:r>
          </w:p>
        </w:tc>
        <w:tc>
          <w:tcPr>
            <w:tcW w:w="230"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color w:val="000000"/>
              </w:rPr>
            </w:pPr>
            <w:r>
              <w:rPr>
                <w:color w:val="000000"/>
              </w:rPr>
              <w:t> </w:t>
            </w:r>
          </w:p>
        </w:tc>
      </w:tr>
    </w:tbl>
    <w:p>
      <w:pPr>
        <w:pStyle w:val="TextBody"/>
        <w:bidi w:val="0"/>
        <w:spacing w:before="0" w:after="0"/>
        <w:ind w:left="0" w:right="0" w:firstLine="720"/>
        <w:jc w:val="left"/>
        <w:rPr/>
      </w:pPr>
      <w:r>
        <w:rPr/>
        <w:t>                                              </w:t>
      </w:r>
      <w:r>
        <w:rPr>
          <w:rFonts w:ascii="Times New Roman" w:hAnsi="Times New Roman"/>
          <w:sz w:val="12"/>
        </w:rPr>
        <w:t>(1)</w:t>
      </w:r>
      <w:r>
        <w:rPr>
          <w:rFonts w:ascii="Times New Roman" w:hAnsi="Times New Roman"/>
          <w:sz w:val="18"/>
        </w:rPr>
        <w:t>  </w:t>
      </w:r>
      <w:r>
        <w:rPr>
          <w:rFonts w:ascii="Times New Roman" w:hAnsi="Times New Roman"/>
          <w:sz w:val="16"/>
        </w:rPr>
        <w:t>Pre-merger cash flow includes pre-Transaction cash from operations and other cash payments burdened by the Transaction.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use free cash flow metrics as a supplemental measure of liquidity as it assists us in assessing our ability to fund growth through generation of cash.  Free cash flow metrics may be calculated differently by other companies, including other companies in our industry or peer group, limiting its usefulness on a comparative basis.  Free cash flow metrics are not a financial measure presented in accordance with GAAP and should not be considered as an alternative to any other measure determined in accordance with GAAP.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Liquidity Outlook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At June 28, 2025, our cash balance was $276 million, which was primarily located outside the U.S.  We believe our existing U.S. based cash and cash flow from U.S. operations, together with available borrowings under our senior secured credit facilities, will be adequate to meet our short-term and long-term liquidity needs with the exception of funds needed to cover all long-term debt obligations, which we intend to refinance prior to maturity.  The Company has the ability to repatriate the cash located outside the U.S. to the extent not needed to meet operational and capital needs without significant restrictions.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- 16 -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10" w:name="Section27"/>
      <w:bookmarkEnd w:id="10"/>
      <w:r>
        <w:rPr>
          <w:rFonts w:ascii="Times New Roman" w:hAnsi="Times New Roman"/>
          <w:b/>
          <w:sz w:val="20"/>
        </w:rPr>
        <w:t>I</w:t>
      </w:r>
      <w:r>
        <w:rPr>
          <w:rFonts w:ascii="Times New Roman" w:hAnsi="Times New Roman"/>
          <w:b/>
          <w:sz w:val="18"/>
        </w:rPr>
        <w:t>tem 3. Quantitative and Qualitative Disclosures about Market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Interest Rate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are exposed to market risk from changes in interest rates primarily through our senior secured credit facilities and accounts receivable supply chain financing programs.  Our senior secured credit facilities are comprised of (i) $781 million Term Loan and (ii) the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period end, the SOFR rate of approximately 4.39% was applicable to the Term Loan.  A change of 0.25% on these floating interest rate exposures would increase our annual interest expense by approximately $2 million.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i/>
          <w:sz w:val="18"/>
        </w:rPr>
        <w:t>Foreign Currency Risk</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As a global company, we face foreign currency risk exposure from fluctuating currency exchange rates, primarily the U.S. dollar against the Euro, British pound sterling, Brazilian real, Chinese renminbi, Canadian dollar and Mexican peso.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period-end exchange rates and impact our Comprehensive income.  A 10% decline in foreign currency exchange rates would have had a $2 million unfavorable impact on our Net income for the quarterly period ended June 28, 2025.  See Note 7—Financial Instruments and Fair Value Measurements.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1" w:name="Section28"/>
      <w:bookmarkEnd w:id="11"/>
      <w:r>
        <w:rPr>
          <w:rFonts w:ascii="Times New Roman" w:hAnsi="Times New Roman"/>
          <w:b/>
          <w:sz w:val="18"/>
        </w:rPr>
        <w:t>Item 4. Controls and Procedures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(a) Evaluation of Disclosure Controls and Procedures.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commission (such as this Form 10-Q) is recorded, processed, summarized, and reported on a timely basis.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Company’s management, with the participation of the Chief Executive Officer and the Chief Financial Officer, carried out an evaluation of the effectiveness of the design and operation of the disclosure controls and procedures as of the end of the period covered by this report.  Based on this evaluation, our Chief Executive Officer and Chief Financial Officer concluded that the design and operation of our disclosure controls and procedures were effective at the reasonable assurance level as of the end of the period covered by this report.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b/>
          <w:sz w:val="18"/>
        </w:rPr>
        <w:t>(b) Changes in internal control over financial reporting.</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As part of the Transaction’s transition services agreement, the Company will rely on Berry’s systems and processes through the integration period. In May 2025, Berry merged with Amcor plc (“Amcor”). Ramifications to the Company, specifically around ERP system controls, as a result of the Berry/Amcor merger are being assessed and we will continue to evaluate the potential impacts to the transition services provided by Berry/Amcor and closely monitor developments as they arise.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Other than in connection with the Transaction and the merger of Berry and Amcor, there were no changes in our internal control over financial reporting that occurred during the Quarter that have materially affected, or are reasonably likely to materially affect, our internal control over financial reporting.   </w:t>
      </w:r>
    </w:p>
    <w:p>
      <w:pPr>
        <w:pStyle w:val="TextBody"/>
        <w:bidi w:val="0"/>
        <w:spacing w:lineRule="auto" w:line="31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- 17 -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12" w:name="Section29"/>
      <w:bookmarkEnd w:id="12"/>
      <w:r>
        <w:rPr>
          <w:rFonts w:ascii="Times New Roman" w:hAnsi="Times New Roman"/>
          <w:b/>
          <w:sz w:val="18"/>
        </w:rPr>
        <w:t>Part II – Other Information</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3" w:name="Section30"/>
      <w:bookmarkEnd w:id="13"/>
      <w:r>
        <w:rPr>
          <w:rFonts w:ascii="Times New Roman" w:hAnsi="Times New Roman"/>
          <w:b/>
          <w:sz w:val="18"/>
        </w:rPr>
        <w:t>Item 1. Legal Proceedings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See the discussion of legal proceedings contained in Note 10—Contingencies and Commitments to our unaudited consolidated financial statements in Part I, Item 1 of this report, which is incorporated herein by reference.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bookmarkStart w:id="14" w:name="Section31"/>
      <w:bookmarkEnd w:id="14"/>
      <w:r>
        <w:rPr>
          <w:rFonts w:ascii="Times New Roman" w:hAnsi="Times New Roman"/>
          <w:b/>
          <w:sz w:val="18"/>
        </w:rPr>
        <w:t>Item 1A.  Risk Factors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Before investing in our securities, we recommend that investors carefully consider the risks described in our annual reports on Form 10-K, quarterly reports on Form 10-Q, current reports on Form 8-K, including our Form 8-K/A filed on January 31, 2025, and other documents filed with the SEC. Realization of any of these risks could have a material adverse effect on our business, financial condition, cash flows and results of operations. Except as follows, there have been no material changes to the risk factors included in our SEC filings.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Additionally, we caution readers that the list of risk factors discussed in our SEC filings may not contain all of the material factors that are important to you.  In addition, in light of these risks and uncertainties, the matters referred to in the forward-looking statements contained in this report may not in fact occur.  Accordingly, readers should not place undue reliance on those statements.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We are exposed to various risks due to economic, political and social instabilities, market volatility, natural disasters, debt and credit issues, currency controls, new or increased tariffs, foreign exchange and interest rate changes. These risks can negatively impact our net sales, net earnings and cash flows.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- 18 -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sz w:val="18"/>
        </w:rPr>
      </w:pPr>
      <w:bookmarkStart w:id="15" w:name="Section32"/>
      <w:bookmarkEnd w:id="15"/>
      <w:r>
        <w:rPr>
          <w:rFonts w:ascii="Times New Roman" w:hAnsi="Times New Roman"/>
          <w:b/>
          <w:sz w:val="18"/>
        </w:rPr>
        <w:t>Item 6. Exhibits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The following exhibits are filed or furnished herewith or incorporated by reference as indicated.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677"/>
        <w:gridCol w:w="7777"/>
        <w:gridCol w:w="1751"/>
      </w:tblGrid>
      <w:tr>
        <w:trPr/>
        <w:tc>
          <w:tcPr>
            <w:tcW w:w="677" w:type="dxa"/>
            <w:tcBorders/>
            <w:vAlign w:val="center"/>
          </w:tcPr>
          <w:p>
            <w:pPr>
              <w:pStyle w:val="TableContents"/>
              <w:bidi w:val="0"/>
              <w:spacing w:before="0" w:after="283"/>
              <w:jc w:val="left"/>
              <w:rPr/>
            </w:pPr>
            <w:r>
              <w:rPr/>
              <w:t xml:space="preserve">  </w:t>
            </w:r>
          </w:p>
        </w:tc>
        <w:tc>
          <w:tcPr>
            <w:tcW w:w="7777" w:type="dxa"/>
            <w:tcBorders/>
            <w:vAlign w:val="center"/>
          </w:tcPr>
          <w:p>
            <w:pPr>
              <w:pStyle w:val="TableContents"/>
              <w:bidi w:val="0"/>
              <w:spacing w:before="0" w:after="283"/>
              <w:jc w:val="left"/>
              <w:rPr/>
            </w:pPr>
            <w:r>
              <w:rPr/>
              <w:t xml:space="preserve">  </w:t>
            </w:r>
          </w:p>
        </w:tc>
        <w:tc>
          <w:tcPr>
            <w:tcW w:w="1751" w:type="dxa"/>
            <w:tcBorders/>
            <w:tcMar>
              <w:top w:w="0" w:type="dxa"/>
              <w:left w:w="0" w:type="dxa"/>
              <w:bottom w:w="0" w:type="dxa"/>
              <w:right w:w="0" w:type="dxa"/>
            </w:tcMar>
            <w:vAlign w:val="center"/>
          </w:tcPr>
          <w:p>
            <w:pPr>
              <w:pStyle w:val="TableContents"/>
              <w:bidi w:val="0"/>
              <w:spacing w:lineRule="auto" w:line="314" w:before="65" w:after="20"/>
              <w:jc w:val="center"/>
              <w:rPr/>
            </w:pPr>
            <w:r>
              <w:rPr>
                <w:color w:val="000000"/>
                <w:sz w:val="16"/>
              </w:rPr>
              <w:t>Incorporated by reference to</w:t>
            </w:r>
            <w:r>
              <w:rPr/>
              <w:t xml:space="preserve"> </w:t>
            </w:r>
          </w:p>
        </w:tc>
      </w:tr>
      <w:tr>
        <w:trPr/>
        <w:tc>
          <w:tcPr>
            <w:tcW w:w="677" w:type="dxa"/>
            <w:tcBorders/>
            <w:tcMar>
              <w:top w:w="0" w:type="dxa"/>
              <w:left w:w="0" w:type="dxa"/>
              <w:bottom w:w="0" w:type="dxa"/>
              <w:right w:w="0" w:type="dxa"/>
            </w:tcMar>
            <w:vAlign w:val="center"/>
          </w:tcPr>
          <w:p>
            <w:pPr>
              <w:pStyle w:val="TableContents"/>
              <w:bidi w:val="0"/>
              <w:spacing w:lineRule="auto" w:line="321" w:before="65" w:after="20"/>
              <w:jc w:val="left"/>
              <w:rPr/>
            </w:pPr>
            <w:hyperlink w:anchor="ex31-1.htm">
              <w:r>
                <w:rPr>
                  <w:rStyle w:val="InternetLink"/>
                  <w:color w:val="000080"/>
                  <w:sz w:val="16"/>
                </w:rPr>
                <w:t>31.1</w:t>
              </w:r>
            </w:hyperlink>
            <w:r>
              <w:rPr>
                <w:color w:val="000000"/>
                <w:sz w:val="16"/>
              </w:rPr>
              <w:t>*</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Rule 13a-14(a)/15d-14(a) Certification of the Chief Executive Officer.</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hyperlink w:anchor="ex31-2.htm">
              <w:r>
                <w:rPr>
                  <w:rStyle w:val="InternetLink"/>
                  <w:color w:val="000080"/>
                  <w:sz w:val="16"/>
                </w:rPr>
                <w:t>31.2</w:t>
              </w:r>
            </w:hyperlink>
            <w:r>
              <w:rPr>
                <w:color w:val="000000"/>
                <w:sz w:val="16"/>
              </w:rPr>
              <w:t>*</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Rule 13a-14(a)/15d-14(a) Certification of the Chief Financial Officer.</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hyperlink w:anchor="ex32-1.htm">
              <w:r>
                <w:rPr>
                  <w:rStyle w:val="InternetLink"/>
                  <w:color w:val="000080"/>
                  <w:sz w:val="16"/>
                </w:rPr>
                <w:t>32.1</w:t>
              </w:r>
            </w:hyperlink>
            <w:r>
              <w:rPr>
                <w:color w:val="000000"/>
                <w:sz w:val="16"/>
              </w:rPr>
              <w:t>**</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Section 1350 Certification of the Chief Executive Officer.</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hyperlink w:anchor="ex32-2.htm">
              <w:r>
                <w:rPr>
                  <w:rStyle w:val="InternetLink"/>
                  <w:color w:val="000080"/>
                  <w:sz w:val="16"/>
                </w:rPr>
                <w:t>32.2</w:t>
              </w:r>
            </w:hyperlink>
            <w:r>
              <w:rPr>
                <w:color w:val="000000"/>
                <w:sz w:val="16"/>
              </w:rPr>
              <w:t>**</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Section 1350 Certification of the Chief Financial Officer.</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101.INS</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Inline XBRL Instance Document – the instance document does not appear in the Interactive Data file because its iXBRL tags are embedded within the Inline XBRL document.</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101.SCH</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Inline XBRL Taxonomy Extension Schema.</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101.CAL</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Inline XBRL Extension Calculation Linkbase.</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101.DEF</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Inline XBRL Extension Definition Linkbase.</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101.LAB</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Inline XBRL Extension Label Linkbase.</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101.PRE</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Inline XBRL Extension Presentation Linkbase.</w:t>
            </w:r>
            <w:r>
              <w:rPr/>
              <w:t xml:space="preserve"> </w:t>
            </w:r>
          </w:p>
        </w:tc>
        <w:tc>
          <w:tcPr>
            <w:tcW w:w="1751" w:type="dxa"/>
            <w:tcBorders/>
            <w:vAlign w:val="center"/>
          </w:tcPr>
          <w:p>
            <w:pPr>
              <w:pStyle w:val="TableContents"/>
              <w:bidi w:val="0"/>
              <w:spacing w:before="0" w:after="283"/>
              <w:jc w:val="left"/>
              <w:rPr/>
            </w:pPr>
            <w:r>
              <w:rPr/>
              <w:t xml:space="preserve">  </w:t>
            </w:r>
          </w:p>
        </w:tc>
      </w:tr>
      <w:tr>
        <w:trPr/>
        <w:tc>
          <w:tcPr>
            <w:tcW w:w="6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104</w:t>
            </w:r>
            <w:r>
              <w:rPr/>
              <w:t xml:space="preserve"> </w:t>
            </w:r>
          </w:p>
        </w:tc>
        <w:tc>
          <w:tcPr>
            <w:tcW w:w="7777" w:type="dxa"/>
            <w:tcBorders/>
            <w:tcMar>
              <w:top w:w="0" w:type="dxa"/>
              <w:left w:w="0" w:type="dxa"/>
              <w:bottom w:w="0" w:type="dxa"/>
              <w:right w:w="0" w:type="dxa"/>
            </w:tcMar>
            <w:vAlign w:val="center"/>
          </w:tcPr>
          <w:p>
            <w:pPr>
              <w:pStyle w:val="TableContents"/>
              <w:bidi w:val="0"/>
              <w:spacing w:before="65" w:after="20"/>
              <w:jc w:val="left"/>
              <w:rPr/>
            </w:pPr>
            <w:r>
              <w:rPr>
                <w:color w:val="000000"/>
                <w:sz w:val="16"/>
              </w:rPr>
              <w:t>Cover Page Interactive Data File (formatted as an inline XBRL and contained in Exhibit 101).</w:t>
            </w:r>
            <w:r>
              <w:rPr/>
              <w:t xml:space="preserve"> </w:t>
            </w:r>
          </w:p>
        </w:tc>
        <w:tc>
          <w:tcPr>
            <w:tcW w:w="1751" w:type="dxa"/>
            <w:tcBorders/>
            <w:vAlign w:val="center"/>
          </w:tcPr>
          <w:p>
            <w:pPr>
              <w:pStyle w:val="TableContents"/>
              <w:bidi w:val="0"/>
              <w:spacing w:before="0" w:after="283"/>
              <w:jc w:val="left"/>
              <w:rPr/>
            </w:pPr>
            <w:r>
              <w:rPr/>
              <w:t xml:space="preserve">  </w:t>
            </w:r>
          </w:p>
        </w:tc>
      </w:tr>
    </w:tbl>
    <w:p>
      <w:pPr>
        <w:pStyle w:val="TextBody"/>
        <w:bidi w:val="0"/>
        <w:spacing w:lineRule="auto" w:line="324" w:before="0" w:after="0"/>
        <w:jc w:val="left"/>
        <w:rPr/>
      </w:pPr>
      <w:r>
        <w:rPr/>
        <w:t xml:space="preserve">  </w:t>
      </w:r>
    </w:p>
    <w:p>
      <w:pPr>
        <w:pStyle w:val="TextBody"/>
        <w:bidi w:val="0"/>
        <w:spacing w:lineRule="auto" w:line="324" w:before="0" w:after="0"/>
        <w:jc w:val="left"/>
        <w:rPr>
          <w:rFonts w:ascii="Times New Roman" w:hAnsi="Times New Roman"/>
          <w:sz w:val="18"/>
        </w:rPr>
      </w:pPr>
      <w:r>
        <w:rPr>
          <w:rFonts w:ascii="Times New Roman" w:hAnsi="Times New Roman"/>
          <w:sz w:val="18"/>
        </w:rPr>
        <w:t xml:space="preserve">* Filed herewith </w:t>
      </w:r>
    </w:p>
    <w:p>
      <w:pPr>
        <w:pStyle w:val="TextBody"/>
        <w:bidi w:val="0"/>
        <w:spacing w:lineRule="auto" w:line="324" w:before="0" w:after="0"/>
        <w:jc w:val="left"/>
        <w:rPr>
          <w:rFonts w:ascii="Times New Roman" w:hAnsi="Times New Roman"/>
          <w:sz w:val="18"/>
        </w:rPr>
      </w:pPr>
      <w:r>
        <w:rPr>
          <w:rFonts w:ascii="Times New Roman" w:hAnsi="Times New Roman"/>
          <w:sz w:val="18"/>
        </w:rPr>
        <w:t xml:space="preserve">** Furnished herewith </w:t>
      </w:r>
    </w:p>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- 19 -</w:t>
      </w:r>
    </w:p>
    <w:p>
      <w:pPr>
        <w:pStyle w:val="HorizontalLine"/>
        <w:bidi w:val="0"/>
        <w:spacing w:before="0" w:after="0"/>
        <w:jc w:val="left"/>
        <w:rPr/>
      </w:pPr>
      <w:r>
        <w:rPr/>
      </w:r>
    </w:p>
    <w:p>
      <w:pPr>
        <w:pStyle w:val="TextBody"/>
        <w:bidi w:val="0"/>
        <w:spacing w:before="0" w:after="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sz w:val="18"/>
        </w:rPr>
      </w:pPr>
      <w:bookmarkStart w:id="16" w:name="Section33"/>
      <w:bookmarkEnd w:id="16"/>
      <w:r>
        <w:rPr>
          <w:rFonts w:ascii="Times New Roman" w:hAnsi="Times New Roman"/>
          <w:b/>
          <w:sz w:val="18"/>
        </w:rPr>
        <w:t>SIGNATURES</w:t>
      </w:r>
      <w:r>
        <w:rPr>
          <w:rFonts w:ascii="Times New Roman" w:hAnsi="Times New Roman"/>
          <w:sz w:val="18"/>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18"/>
        </w:rPr>
      </w:pPr>
      <w:r>
        <w:rPr>
          <w:rFonts w:ascii="Times New Roman" w:hAnsi="Times New Roman"/>
          <w:sz w:val="18"/>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xml:space="preserve">  </w:t>
      </w:r>
    </w:p>
    <w:tbl>
      <w:tblPr>
        <w:tblW w:w="3764" w:type="dxa"/>
        <w:jc w:val="left"/>
        <w:tblInd w:w="0" w:type="dxa"/>
        <w:tblLayout w:type="fixed"/>
        <w:tblCellMar>
          <w:top w:w="28" w:type="dxa"/>
          <w:left w:w="28" w:type="dxa"/>
          <w:bottom w:w="28" w:type="dxa"/>
          <w:right w:w="28" w:type="dxa"/>
        </w:tblCellMar>
      </w:tblPr>
      <w:tblGrid>
        <w:gridCol w:w="1291"/>
        <w:gridCol w:w="421"/>
        <w:gridCol w:w="206"/>
        <w:gridCol w:w="1846"/>
      </w:tblGrid>
      <w:tr>
        <w:trPr/>
        <w:tc>
          <w:tcPr>
            <w:tcW w:w="1291" w:type="dxa"/>
            <w:tcBorders/>
            <w:vAlign w:val="center"/>
          </w:tcPr>
          <w:p>
            <w:pPr>
              <w:pStyle w:val="TableContents"/>
              <w:bidi w:val="0"/>
              <w:spacing w:before="0" w:after="283"/>
              <w:jc w:val="left"/>
              <w:rPr/>
            </w:pPr>
            <w:r>
              <w:rPr/>
              <w:t> </w:t>
            </w:r>
          </w:p>
        </w:tc>
        <w:tc>
          <w:tcPr>
            <w:tcW w:w="42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846" w:type="dxa"/>
            <w:tcBorders/>
            <w:vAlign w:val="center"/>
          </w:tcPr>
          <w:p>
            <w:pPr>
              <w:pStyle w:val="TableContents"/>
              <w:bidi w:val="0"/>
              <w:spacing w:before="0" w:after="283"/>
              <w:jc w:val="left"/>
              <w:rPr/>
            </w:pPr>
            <w:r>
              <w:rPr/>
              <w:t> </w:t>
            </w:r>
          </w:p>
        </w:tc>
      </w:tr>
      <w:tr>
        <w:trPr/>
        <w:tc>
          <w:tcPr>
            <w:tcW w:w="129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473" w:type="dxa"/>
            <w:gridSpan w:val="3"/>
            <w:tcBorders/>
            <w:tcMar>
              <w:top w:w="0" w:type="dxa"/>
              <w:left w:w="0" w:type="dxa"/>
              <w:bottom w:w="0" w:type="dxa"/>
              <w:right w:w="0" w:type="dxa"/>
            </w:tcMar>
            <w:vAlign w:val="center"/>
          </w:tcPr>
          <w:p>
            <w:pPr>
              <w:pStyle w:val="TableContents"/>
              <w:bidi w:val="0"/>
              <w:spacing w:lineRule="auto" w:line="324" w:before="65" w:after="20"/>
              <w:jc w:val="left"/>
              <w:rPr/>
            </w:pPr>
            <w:r>
              <w:rPr>
                <w:b/>
                <w:sz w:val="18"/>
              </w:rPr>
              <w:t>Magnera Corporation</w:t>
            </w:r>
            <w:r>
              <w:rPr/>
              <w:t xml:space="preserve"> </w:t>
            </w:r>
          </w:p>
        </w:tc>
      </w:tr>
      <w:tr>
        <w:trPr/>
        <w:tc>
          <w:tcPr>
            <w:tcW w:w="1291" w:type="dxa"/>
            <w:tcBorders/>
            <w:vAlign w:val="center"/>
          </w:tcPr>
          <w:p>
            <w:pPr>
              <w:pStyle w:val="TableContents"/>
              <w:bidi w:val="0"/>
              <w:spacing w:before="0" w:after="0"/>
              <w:jc w:val="left"/>
              <w:rPr/>
            </w:pP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r>
      <w:tr>
        <w:trPr/>
        <w:tc>
          <w:tcPr>
            <w:tcW w:w="1291" w:type="dxa"/>
            <w:tcBorders/>
            <w:tcMar>
              <w:top w:w="0" w:type="dxa"/>
              <w:left w:w="0" w:type="dxa"/>
              <w:bottom w:w="0" w:type="dxa"/>
              <w:right w:w="0" w:type="dxa"/>
            </w:tcMar>
            <w:vAlign w:val="center"/>
          </w:tcPr>
          <w:p>
            <w:pPr>
              <w:pStyle w:val="TableContents"/>
              <w:bidi w:val="0"/>
              <w:spacing w:before="65" w:after="20"/>
              <w:jc w:val="left"/>
              <w:rPr/>
            </w:pPr>
            <w:r>
              <w:rPr>
                <w:color w:val="000000"/>
                <w:sz w:val="18"/>
              </w:rPr>
              <w:t>August 6, 2025</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sz w:val="18"/>
              </w:rPr>
              <w:t>By:</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bottom w:val="single" w:sz="8" w:space="0" w:color="000000"/>
            </w:tcBorders>
            <w:tcMar>
              <w:top w:w="0" w:type="dxa"/>
              <w:left w:w="0" w:type="dxa"/>
              <w:right w:w="0" w:type="dxa"/>
            </w:tcMar>
            <w:vAlign w:val="center"/>
          </w:tcPr>
          <w:p>
            <w:pPr>
              <w:pStyle w:val="TableContents"/>
              <w:bidi w:val="0"/>
              <w:spacing w:lineRule="auto" w:line="321" w:before="65" w:after="20"/>
              <w:jc w:val="left"/>
              <w:rPr/>
            </w:pPr>
            <w:r>
              <w:rPr>
                <w:sz w:val="18"/>
              </w:rPr>
              <w:t>/s/ James M. Till</w:t>
            </w:r>
            <w:r>
              <w:rPr/>
              <w:t xml:space="preserve"> </w:t>
            </w:r>
          </w:p>
        </w:tc>
      </w:tr>
      <w:tr>
        <w:trPr/>
        <w:tc>
          <w:tcPr>
            <w:tcW w:w="1291" w:type="dxa"/>
            <w:tcBorders/>
            <w:tcMar>
              <w:top w:w="0" w:type="dxa"/>
              <w:left w:w="0" w:type="dxa"/>
              <w:bottom w:w="0" w:type="dxa"/>
              <w:right w:w="0" w:type="dxa"/>
            </w:tcMar>
            <w:vAlign w:val="center"/>
          </w:tcPr>
          <w:p>
            <w:pPr>
              <w:pStyle w:val="TableContents"/>
              <w:bidi w:val="0"/>
              <w:spacing w:lineRule="auto" w:line="321" w:before="50" w:after="20"/>
              <w:jc w:val="left"/>
              <w:rPr/>
            </w:pPr>
            <w:r>
              <w:rPr>
                <w:color w:val="000000"/>
              </w:rPr>
              <w:t> </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50"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op w:val="single" w:sz="8" w:space="0" w:color="000000"/>
            </w:tcBorders>
            <w:tcMar>
              <w:left w:w="0" w:type="dxa"/>
              <w:bottom w:w="0" w:type="dxa"/>
              <w:right w:w="0" w:type="dxa"/>
            </w:tcMar>
            <w:vAlign w:val="center"/>
          </w:tcPr>
          <w:p>
            <w:pPr>
              <w:pStyle w:val="TableContents"/>
              <w:bidi w:val="0"/>
              <w:spacing w:lineRule="auto" w:line="321" w:before="50" w:after="20"/>
              <w:jc w:val="left"/>
              <w:rPr/>
            </w:pPr>
            <w:r>
              <w:rPr>
                <w:sz w:val="18"/>
              </w:rPr>
              <w:t>James M. Till</w:t>
            </w:r>
            <w:r>
              <w:rPr/>
              <w:t xml:space="preserve"> </w:t>
            </w:r>
          </w:p>
        </w:tc>
      </w:tr>
      <w:tr>
        <w:trPr/>
        <w:tc>
          <w:tcPr>
            <w:tcW w:w="129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421" w:type="dxa"/>
            <w:tcBorders/>
            <w:tcMar>
              <w:top w:w="0" w:type="dxa"/>
              <w:left w:w="0" w:type="dxa"/>
              <w:bottom w:w="0" w:type="dxa"/>
              <w:right w:w="0" w:type="dxa"/>
            </w:tcMar>
            <w:vAlign w:val="center"/>
          </w:tcPr>
          <w:p>
            <w:pPr>
              <w:pStyle w:val="TableContents"/>
              <w:bidi w:val="0"/>
              <w:spacing w:lineRule="auto" w:line="321" w:before="65" w:after="20"/>
              <w:jc w:val="left"/>
              <w:rPr/>
            </w:pPr>
            <w:r>
              <w:rPr>
                <w:color w:val="000000"/>
              </w:rPr>
              <w:t> </w:t>
            </w:r>
            <w:r>
              <w:rPr/>
              <w:t xml:space="preserve"> </w:t>
            </w:r>
          </w:p>
        </w:tc>
        <w:tc>
          <w:tcPr>
            <w:tcW w:w="206" w:type="dxa"/>
            <w:tcBorders/>
            <w:vAlign w:val="center"/>
          </w:tcPr>
          <w:p>
            <w:pPr>
              <w:pStyle w:val="TableContents"/>
              <w:bidi w:val="0"/>
              <w:spacing w:before="0" w:after="0"/>
              <w:jc w:val="left"/>
              <w:rPr/>
            </w:pPr>
            <w:r>
              <w:rPr/>
              <w:t xml:space="preserve">  </w:t>
            </w:r>
          </w:p>
        </w:tc>
        <w:tc>
          <w:tcPr>
            <w:tcW w:w="1846" w:type="dxa"/>
            <w:tcBorders/>
            <w:tcMar>
              <w:top w:w="0" w:type="dxa"/>
              <w:left w:w="0" w:type="dxa"/>
              <w:bottom w:w="0" w:type="dxa"/>
              <w:right w:w="0" w:type="dxa"/>
            </w:tcMar>
            <w:vAlign w:val="center"/>
          </w:tcPr>
          <w:p>
            <w:pPr>
              <w:pStyle w:val="TableContents"/>
              <w:bidi w:val="0"/>
              <w:spacing w:lineRule="auto" w:line="324" w:before="65" w:after="20"/>
              <w:ind w:left="0" w:right="0" w:hanging="527"/>
              <w:jc w:val="left"/>
              <w:rPr/>
            </w:pPr>
            <w:r>
              <w:rPr>
                <w:sz w:val="18"/>
              </w:rPr>
              <w:t>Chief Financial Officer</w:t>
            </w:r>
            <w:r>
              <w:rPr/>
              <w:t xml:space="preserve"> </w:t>
            </w:r>
          </w:p>
        </w:tc>
      </w:tr>
    </w:tbl>
    <w:p>
      <w:pPr>
        <w:pStyle w:val="TextBody"/>
        <w:bidi w:val="0"/>
        <w:spacing w:lineRule="auto" w:line="324"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4"/>
          <w:u w:val="none"/>
          <w:effect w:val="none"/>
        </w:rPr>
        <w:t>- 20 -</w:t>
      </w:r>
    </w:p>
    <w:p>
      <w:pPr>
        <w:pStyle w:val="HorizontalLine"/>
        <w:bidi w:val="0"/>
        <w:spacing w:before="0" w:after="0"/>
        <w:jc w:val="left"/>
        <w:rPr/>
      </w:pPr>
      <w:r>
        <w:rPr/>
      </w:r>
    </w:p>
    <w:p>
      <w:pPr>
        <w:pStyle w:val="TextBody"/>
        <w:bidi w:val="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lineRule="auto" w:line="336" w:before="0" w:after="0"/>
        <w:jc w:val="right"/>
        <w:rPr/>
      </w:pPr>
      <w:bookmarkStart w:id="17" w:name="ex31-1.htm"/>
      <w:bookmarkStart w:id="18" w:name="ksex311"/>
      <w:bookmarkEnd w:id="17"/>
      <w:bookmarkEnd w:id="18"/>
      <w:r>
        <w:rPr>
          <w:b/>
          <w:sz w:val="20"/>
        </w:rPr>
        <w:t>EXHIBIT 31.1</w:t>
      </w:r>
      <w:r>
        <w:rPr/>
        <w:t xml:space="preserve"> </w:t>
      </w:r>
      <w:r>
        <w:br w:type="page"/>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CHIEF EXECUTIVE OFFICER CERTIFICATION</w:t>
      </w:r>
      <w:r>
        <w:rPr/>
        <w:t xml:space="preserve"> </w:t>
      </w:r>
    </w:p>
    <w:p>
      <w:pPr>
        <w:pStyle w:val="TextBody"/>
        <w:bidi w:val="0"/>
        <w:spacing w:lineRule="auto" w:line="314" w:before="0" w:after="0"/>
        <w:jc w:val="left"/>
        <w:rPr/>
      </w:pPr>
      <w:r>
        <w:rPr/>
        <w:t xml:space="preserve">  </w:t>
      </w:r>
    </w:p>
    <w:p>
      <w:pPr>
        <w:pStyle w:val="TextBody"/>
        <w:bidi w:val="0"/>
        <w:spacing w:lineRule="auto" w:line="314" w:before="0" w:after="0"/>
        <w:jc w:val="left"/>
        <w:rPr/>
      </w:pPr>
      <w:r>
        <w:rPr>
          <w:sz w:val="20"/>
        </w:rPr>
        <w:t>I, Curtis L. Begle, Chief Executive Officer of Magnera Corporation, certify that:</w:t>
      </w:r>
      <w:r>
        <w:rPr/>
        <w:t xml:space="preserve"> </w:t>
      </w:r>
    </w:p>
    <w:p>
      <w:pPr>
        <w:pStyle w:val="TextBody"/>
        <w:bidi w:val="0"/>
        <w:spacing w:lineRule="auto" w:line="336" w:before="120" w:after="283"/>
        <w:jc w:val="left"/>
        <w:rPr>
          <w:sz w:val="20"/>
        </w:rPr>
      </w:pPr>
      <w:r>
        <w:rPr>
          <w:sz w:val="20"/>
        </w:rPr>
        <w:t xml:space="preserve">1. </w:t>
      </w:r>
    </w:p>
    <w:p>
      <w:pPr>
        <w:pStyle w:val="TextBody"/>
        <w:bidi w:val="0"/>
        <w:spacing w:lineRule="auto" w:line="336" w:before="120" w:after="283"/>
        <w:ind w:left="360" w:right="0" w:hanging="0"/>
        <w:jc w:val="left"/>
        <w:rPr>
          <w:sz w:val="20"/>
        </w:rPr>
      </w:pPr>
      <w:r>
        <w:rPr>
          <w:sz w:val="20"/>
        </w:rPr>
        <w:t xml:space="preserve">I have reviewed this quarterly report on Form 10-Q of Magnera Corporation (the "Registrant"); </w:t>
      </w:r>
    </w:p>
    <w:p>
      <w:pPr>
        <w:pStyle w:val="TextBody"/>
        <w:bidi w:val="0"/>
        <w:spacing w:lineRule="auto" w:line="336" w:before="120" w:after="283"/>
        <w:jc w:val="left"/>
        <w:rPr>
          <w:sz w:val="20"/>
        </w:rPr>
      </w:pPr>
      <w:r>
        <w:rPr>
          <w:sz w:val="20"/>
        </w:rPr>
        <w:t xml:space="preserve">2. </w:t>
      </w:r>
    </w:p>
    <w:p>
      <w:pPr>
        <w:pStyle w:val="TextBody"/>
        <w:bidi w:val="0"/>
        <w:spacing w:lineRule="auto" w:line="336" w:before="120" w:after="283"/>
        <w:ind w:left="360" w:right="0" w:hanging="0"/>
        <w:jc w:val="left"/>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6" w:before="120" w:after="283"/>
        <w:ind w:left="0" w:right="0" w:hanging="360"/>
        <w:jc w:val="left"/>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2286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3.</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3.</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 cy="175260"/>
                <wp:effectExtent l="0" t="0" r="0" b="0"/>
                <wp:wrapSquare wrapText="right"/>
                <wp:docPr id="3" name="Frame2"/>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4.</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4.</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sz w:val="20"/>
        </w:rPr>
      </w:pPr>
      <w:r>
        <w:rPr>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 </w:t>
      </w:r>
    </w:p>
    <w:p>
      <w:pPr>
        <w:pStyle w:val="TextBody"/>
        <w:bidi w:val="0"/>
        <w:spacing w:lineRule="auto" w:line="336" w:before="120" w:after="283"/>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6" w:before="120" w:after="283"/>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6" w:before="120" w:after="283"/>
        <w:ind w:left="0" w:right="0" w:hanging="360"/>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6" w:before="120" w:after="283"/>
        <w:ind w:left="0" w:right="0" w:hanging="360"/>
        <w:jc w:val="left"/>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 cy="175260"/>
                <wp:effectExtent l="0" t="0" r="0" b="0"/>
                <wp:wrapSquare wrapText="right"/>
                <wp:docPr id="4" name="Frame3"/>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lineRule="auto" w:line="336" w:before="120" w:after="283"/>
        <w:ind w:left="0" w:right="0" w:hanging="360"/>
        <w:jc w:val="left"/>
        <w:rPr/>
      </w:pPr>
      <w:r>
        <w:rPr>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371600" cy="175260"/>
                <wp:effectExtent l="0" t="0" r="0" b="0"/>
                <wp:wrapSquare wrapText="right"/>
                <wp:docPr id="5" name="Frame4"/>
                <a:graphic xmlns:a="http://schemas.openxmlformats.org/drawingml/2006/main">
                  <a:graphicData uri="http://schemas.microsoft.com/office/word/2010/wordprocessingShape">
                    <wps:wsp>
                      <wps:cNvSpPr txBox="1"/>
                      <wps:spPr>
                        <a:xfrm>
                          <a:off x="0" y="0"/>
                          <a:ext cx="1371600" cy="175260"/>
                        </a:xfrm>
                        <a:prstGeom prst="rect"/>
                        <a:solidFill>
                          <a:srgbClr val="FFFFFF"/>
                        </a:solidFill>
                      </wps:spPr>
                      <wps:txbx>
                        <w:txbxContent>
                          <w:p>
                            <w:pPr>
                              <w:pStyle w:val="TextBody"/>
                              <w:bidi w:val="0"/>
                              <w:spacing w:before="0" w:after="283"/>
                              <w:jc w:val="left"/>
                              <w:rPr/>
                            </w:pPr>
                            <w:r>
                              <w:rPr>
                                <w:sz w:val="20"/>
                              </w:rPr>
                              <w:t>Date: August 6, 2025</w:t>
                            </w:r>
                            <w:r>
                              <w:rPr/>
                              <w:t xml:space="preserve"> </w:t>
                            </w:r>
                          </w:p>
                        </w:txbxContent>
                      </wps:txbx>
                      <wps:bodyPr anchor="t" lIns="0" tIns="0" rIns="0" bIns="0">
                        <a:noAutofit/>
                      </wps:bodyPr>
                    </wps:wsp>
                  </a:graphicData>
                </a:graphic>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Date: August 6, 2025</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108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tbl>
      <w:tblPr>
        <w:tblW w:w="2552" w:type="dxa"/>
        <w:jc w:val="left"/>
        <w:tblInd w:w="0" w:type="dxa"/>
        <w:tblLayout w:type="fixed"/>
        <w:tblCellMar>
          <w:top w:w="0" w:type="dxa"/>
          <w:left w:w="0" w:type="dxa"/>
          <w:bottom w:w="0" w:type="dxa"/>
          <w:right w:w="0" w:type="dxa"/>
        </w:tblCellMar>
      </w:tblPr>
      <w:tblGrid>
        <w:gridCol w:w="421"/>
        <w:gridCol w:w="213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131" w:type="dxa"/>
            <w:tcBorders>
              <w:bottom w:val="single" w:sz="8" w:space="0" w:color="000000"/>
            </w:tcBorders>
            <w:tcMar>
              <w:bottom w:w="28" w:type="dxa"/>
            </w:tcMar>
            <w:vAlign w:val="center"/>
          </w:tcPr>
          <w:p>
            <w:pPr>
              <w:pStyle w:val="TableContents"/>
              <w:bidi w:val="0"/>
              <w:spacing w:before="53" w:after="30"/>
              <w:jc w:val="left"/>
              <w:rPr/>
            </w:pPr>
            <w:r>
              <w:rPr>
                <w:color w:val="000000"/>
                <w:sz w:val="20"/>
              </w:rPr>
              <w:t>/s/ 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vAlign w:val="center"/>
          </w:tcPr>
          <w:p>
            <w:pPr>
              <w:pStyle w:val="TableContents"/>
              <w:bidi w:val="0"/>
              <w:spacing w:before="53" w:after="30"/>
              <w:ind w:left="240" w:right="0" w:hanging="0"/>
              <w:jc w:val="left"/>
              <w:rPr/>
            </w:pPr>
            <w:r>
              <w:rPr>
                <w:color w:val="000000"/>
                <w:sz w:val="20"/>
              </w:rPr>
              <w:t>Chief Executive Officer</w:t>
            </w:r>
            <w:r>
              <w:rPr/>
              <w:t xml:space="preserve"> </w:t>
            </w:r>
          </w:p>
        </w:tc>
      </w:tr>
    </w:tbl>
    <w:p>
      <w:pPr>
        <w:pStyle w:val="TextBody"/>
        <w:bidi w:val="0"/>
        <w:spacing w:lineRule="auto" w:line="336" w:before="0" w:after="0"/>
        <w:jc w:val="left"/>
        <w:rPr/>
      </w:pPr>
      <w:r>
        <w:rPr/>
        <w:t xml:space="preserve">  </w:t>
      </w:r>
    </w:p>
    <w:p>
      <w:pPr>
        <w:pStyle w:val="TextBody"/>
        <w:bidi w:val="0"/>
        <w:spacing w:lineRule="auto" w:line="336"/>
        <w:jc w:val="left"/>
        <w:rPr/>
      </w:pPr>
      <w:r>
        <w:rPr/>
        <w:t xml:space="preserve">  </w:t>
      </w:r>
    </w:p>
    <w:p>
      <w:pPr>
        <w:pStyle w:val="TextBody"/>
        <w:bidi w:val="0"/>
        <w:spacing w:lineRule="auto" w:line="336" w:before="0" w:after="0"/>
        <w:jc w:val="right"/>
        <w:rPr/>
      </w:pPr>
      <w:bookmarkStart w:id="19" w:name="ex31-2.htm"/>
      <w:bookmarkStart w:id="20" w:name="ksex312"/>
      <w:bookmarkEnd w:id="19"/>
      <w:bookmarkEnd w:id="20"/>
      <w:r>
        <w:rPr>
          <w:b/>
          <w:sz w:val="20"/>
        </w:rPr>
        <w:t>EXHIBIT 31.2</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b/>
          <w:sz w:val="20"/>
        </w:rPr>
        <w:t>CHIEF FINANCIAL OFFICER CERTIFICATION</w:t>
      </w:r>
      <w:r>
        <w:rPr/>
        <w:t xml:space="preserve"> </w:t>
      </w:r>
    </w:p>
    <w:p>
      <w:pPr>
        <w:pStyle w:val="TextBody"/>
        <w:bidi w:val="0"/>
        <w:spacing w:lineRule="auto" w:line="336" w:before="120" w:after="283"/>
        <w:jc w:val="left"/>
        <w:rPr/>
      </w:pPr>
      <w:r>
        <w:rPr>
          <w:sz w:val="20"/>
        </w:rPr>
        <w:t>I, James M. Till, Chief Financial Officer of Magnera Corporation, certify that:</w:t>
      </w:r>
      <w:r>
        <w:rPr/>
        <w:t xml:space="preserve"> </w:t>
      </w:r>
    </w:p>
    <w:p>
      <w:pPr>
        <w:pStyle w:val="TextBody"/>
        <w:bidi w:val="0"/>
        <w:spacing w:lineRule="auto" w:line="336" w:before="120" w:after="283"/>
        <w:jc w:val="left"/>
        <w:rPr>
          <w:sz w:val="20"/>
        </w:rPr>
      </w:pPr>
      <w:r>
        <w:rPr>
          <w:sz w:val="20"/>
        </w:rPr>
        <w:t xml:space="preserve">1. </w:t>
      </w:r>
    </w:p>
    <w:p>
      <w:pPr>
        <w:pStyle w:val="TextBody"/>
        <w:bidi w:val="0"/>
        <w:spacing w:lineRule="auto" w:line="336" w:before="120" w:after="283"/>
        <w:ind w:left="360" w:right="0" w:hanging="0"/>
        <w:jc w:val="left"/>
        <w:rPr>
          <w:sz w:val="20"/>
        </w:rPr>
      </w:pPr>
      <w:r>
        <w:rPr>
          <w:sz w:val="20"/>
        </w:rPr>
        <w:t xml:space="preserve">I have reviewed this quarterly report on Form 10-Q of Magnera Corporation (the "Registrant"); </w:t>
      </w:r>
    </w:p>
    <w:p>
      <w:pPr>
        <w:pStyle w:val="TextBody"/>
        <w:bidi w:val="0"/>
        <w:spacing w:lineRule="auto" w:line="336" w:before="120" w:after="283"/>
        <w:jc w:val="left"/>
        <w:rPr>
          <w:sz w:val="20"/>
        </w:rPr>
      </w:pPr>
      <w:r>
        <w:rPr>
          <w:sz w:val="20"/>
        </w:rPr>
        <w:t xml:space="preserve">2. </w:t>
      </w:r>
    </w:p>
    <w:p>
      <w:pPr>
        <w:pStyle w:val="TextBody"/>
        <w:bidi w:val="0"/>
        <w:spacing w:lineRule="auto" w:line="336" w:before="120" w:after="283"/>
        <w:ind w:left="360" w:right="0" w:hanging="0"/>
        <w:jc w:val="left"/>
        <w:rPr>
          <w:sz w:val="20"/>
        </w:rPr>
      </w:pPr>
      <w:r>
        <w:rPr>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336" w:before="120" w:after="283"/>
        <w:jc w:val="left"/>
        <w:rPr>
          <w:sz w:val="20"/>
        </w:rPr>
      </w:pPr>
      <w:r>
        <w:rPr>
          <w:sz w:val="20"/>
        </w:rPr>
        <w:t xml:space="preserve">3. </w:t>
      </w:r>
    </w:p>
    <w:p>
      <w:pPr>
        <w:pStyle w:val="TextBody"/>
        <w:bidi w:val="0"/>
        <w:spacing w:lineRule="auto" w:line="336" w:before="120" w:after="283"/>
        <w:ind w:left="360" w:right="0" w:hanging="0"/>
        <w:jc w:val="left"/>
        <w:rPr>
          <w:sz w:val="20"/>
        </w:rPr>
      </w:pPr>
      <w:r>
        <w:rPr>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336" w:before="120" w:after="283"/>
        <w:jc w:val="left"/>
        <w:rPr>
          <w:sz w:val="20"/>
        </w:rPr>
      </w:pPr>
      <w:r>
        <w:rPr>
          <w:sz w:val="20"/>
        </w:rPr>
        <w:t xml:space="preserve">4. </w:t>
      </w:r>
    </w:p>
    <w:p>
      <w:pPr>
        <w:pStyle w:val="TextBody"/>
        <w:bidi w:val="0"/>
        <w:spacing w:lineRule="auto" w:line="336" w:before="120" w:after="283"/>
        <w:ind w:left="360" w:right="0" w:hanging="0"/>
        <w:jc w:val="left"/>
        <w:rPr>
          <w:sz w:val="20"/>
        </w:rPr>
      </w:pPr>
      <w:r>
        <w:rPr>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336" w:before="120" w:after="283"/>
        <w:ind w:left="0" w:right="0" w:hanging="360"/>
        <w:jc w:val="left"/>
        <w:rPr/>
      </w:pPr>
      <w:r>
        <w:rPr>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r>
        <w:rPr/>
        <w:t xml:space="preserve"> </w:t>
      </w:r>
    </w:p>
    <w:p>
      <w:pPr>
        <w:pStyle w:val="TextBody"/>
        <w:bidi w:val="0"/>
        <w:spacing w:lineRule="auto" w:line="336" w:before="120" w:after="283"/>
        <w:ind w:left="0" w:right="0" w:hanging="360"/>
        <w:jc w:val="left"/>
        <w:rPr>
          <w:sz w:val="20"/>
        </w:rPr>
      </w:pPr>
      <w:r>
        <w:rPr>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36" w:before="120" w:after="283"/>
        <w:ind w:left="0" w:right="0" w:hanging="360"/>
        <w:jc w:val="left"/>
        <w:rPr>
          <w:sz w:val="20"/>
        </w:rPr>
      </w:pPr>
      <w:r>
        <w:rPr>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336" w:before="120" w:after="283"/>
        <w:ind w:left="0" w:right="0" w:hanging="360"/>
        <w:jc w:val="left"/>
        <w:rPr>
          <w:sz w:val="20"/>
        </w:rPr>
      </w:pPr>
      <w:r>
        <w:rPr>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336" w:before="120" w:after="283"/>
        <w:ind w:left="0" w:right="0" w:hanging="360"/>
        <w:jc w:val="left"/>
        <w:rPr/>
      </w:pPr>
      <w:r>
        <w:rPr>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 cy="175260"/>
                <wp:effectExtent l="0" t="0" r="0" b="0"/>
                <wp:wrapSquare wrapText="right"/>
                <wp:docPr id="7" name="Frame6"/>
                <a:graphic xmlns:a="http://schemas.openxmlformats.org/drawingml/2006/main">
                  <a:graphicData uri="http://schemas.microsoft.com/office/word/2010/wordprocessingShape">
                    <wps:wsp>
                      <wps:cNvSpPr txBox="1"/>
                      <wps:spPr>
                        <a:xfrm>
                          <a:off x="0" y="0"/>
                          <a:ext cx="228600" cy="175260"/>
                        </a:xfrm>
                        <a:prstGeom prst="rect"/>
                        <a:solidFill>
                          <a:srgbClr val="FFFFFF"/>
                        </a:solidFill>
                      </wps:spPr>
                      <wps:txbx>
                        <w:txbxContent>
                          <w:p>
                            <w:pPr>
                              <w:pStyle w:val="TextBody"/>
                              <w:bidi w:val="0"/>
                              <w:spacing w:before="0" w:after="283"/>
                              <w:jc w:val="left"/>
                              <w:rPr/>
                            </w:pPr>
                            <w:r>
                              <w:rPr>
                                <w:sz w:val="20"/>
                              </w:rPr>
                              <w:t>5.</w:t>
                            </w:r>
                            <w:r>
                              <w:rPr/>
                              <w:t xml:space="preserve"> </w:t>
                            </w:r>
                          </w:p>
                        </w:txbxContent>
                      </wps:txbx>
                      <wps:bodyPr anchor="t" lIns="0" tIns="0" rIns="0" bIns="0">
                        <a:noAutofit/>
                      </wps:bodyPr>
                    </wps:wsp>
                  </a:graphicData>
                </a:graphic>
              </wp:anchor>
            </w:drawing>
          </mc:Choice>
          <mc:Fallback>
            <w:pict>
              <v:rect style="position:absolute;rotation:-0;width: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z w:val="20"/>
                        </w:rPr>
                        <w:t>5.</w:t>
                      </w:r>
                      <w:r>
                        <w:rPr/>
                        <w:t xml:space="preserve"> </w:t>
                      </w:r>
                    </w:p>
                  </w:txbxContent>
                </v:textbox>
                <w10:wrap type="square" side="right"/>
              </v:rect>
            </w:pict>
          </mc:Fallback>
        </mc:AlternateContent>
      </w:r>
    </w:p>
    <w:p>
      <w:pPr>
        <w:pStyle w:val="TextBody"/>
        <w:bidi w:val="0"/>
        <w:spacing w:lineRule="auto" w:line="336" w:before="120" w:after="283"/>
        <w:ind w:left="0" w:right="0" w:hanging="360"/>
        <w:jc w:val="left"/>
        <w:rPr/>
      </w:pPr>
      <w:r>
        <w:rPr>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lineRule="auto" w:line="336" w:before="120" w:after="283"/>
        <w:ind w:left="0" w:right="0" w:hanging="360"/>
        <w:jc w:val="left"/>
        <w:rPr/>
      </w:pPr>
      <w:r>
        <w:rPr>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lineRule="auto" w:line="336" w:before="120" w:after="283"/>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sz w:val="20"/>
        </w:rPr>
        <w:t>Date: August 6, 2025</w:t>
      </w:r>
      <w:r>
        <w:rPr/>
        <w:t xml:space="preserve"> </w:t>
      </w:r>
    </w:p>
    <w:tbl>
      <w:tblPr>
        <w:tblW w:w="2492" w:type="dxa"/>
        <w:jc w:val="left"/>
        <w:tblInd w:w="0" w:type="dxa"/>
        <w:tblLayout w:type="fixed"/>
        <w:tblCellMar>
          <w:top w:w="0" w:type="dxa"/>
          <w:left w:w="0" w:type="dxa"/>
          <w:bottom w:w="0" w:type="dxa"/>
          <w:right w:w="0" w:type="dxa"/>
        </w:tblCellMar>
      </w:tblPr>
      <w:tblGrid>
        <w:gridCol w:w="421"/>
        <w:gridCol w:w="207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071" w:type="dxa"/>
            <w:tcBorders>
              <w:bottom w:val="single" w:sz="8" w:space="0" w:color="000000"/>
            </w:tcBorders>
            <w:tcMar>
              <w:bottom w:w="28" w:type="dxa"/>
            </w:tcMar>
            <w:vAlign w:val="center"/>
          </w:tcPr>
          <w:p>
            <w:pPr>
              <w:pStyle w:val="TableContents"/>
              <w:bidi w:val="0"/>
              <w:spacing w:before="53" w:after="30"/>
              <w:jc w:val="left"/>
              <w:rPr/>
            </w:pPr>
            <w:r>
              <w:rPr>
                <w:sz w:val="20"/>
              </w:rPr>
              <w:t>/s/ 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53" w:after="30"/>
              <w:ind w:left="0" w:right="0" w:hanging="90"/>
              <w:jc w:val="left"/>
              <w:rPr/>
            </w:pPr>
            <w:r>
              <w:rPr>
                <w:sz w:val="20"/>
              </w:rPr>
              <w:t>Chief Financial Officer</w:t>
            </w:r>
            <w:r>
              <w:rPr/>
              <w:t xml:space="preserve"> </w:t>
            </w:r>
          </w:p>
        </w:tc>
      </w:tr>
    </w:tbl>
    <w:p>
      <w:pPr>
        <w:pStyle w:val="TextBody"/>
        <w:bidi w:val="0"/>
        <w:spacing w:lineRule="auto" w:line="336" w:before="0" w:after="0"/>
        <w:jc w:val="left"/>
        <w:rPr/>
      </w:pPr>
      <w:r>
        <w:rPr/>
        <w:t xml:space="preserve">  </w:t>
      </w:r>
    </w:p>
    <w:p>
      <w:pPr>
        <w:pStyle w:val="TextBody"/>
        <w:bidi w:val="0"/>
        <w:spacing w:lineRule="auto" w:line="336"/>
        <w:jc w:val="left"/>
        <w:rPr/>
      </w:pPr>
      <w:r>
        <w:rPr/>
        <w:t xml:space="preserve">  </w:t>
      </w:r>
    </w:p>
    <w:p>
      <w:pPr>
        <w:pStyle w:val="TextBody"/>
        <w:bidi w:val="0"/>
        <w:spacing w:lineRule="auto" w:line="336" w:before="0" w:after="0"/>
        <w:jc w:val="right"/>
        <w:rPr/>
      </w:pPr>
      <w:bookmarkStart w:id="21" w:name="ex32-1.htm"/>
      <w:bookmarkStart w:id="22" w:name="ksex321"/>
      <w:bookmarkEnd w:id="21"/>
      <w:bookmarkEnd w:id="22"/>
      <w:r>
        <w:rPr>
          <w:b/>
          <w:sz w:val="20"/>
        </w:rPr>
        <w:t>Exhibit 32.1</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CERTIFICATION OF THE CHIEF EXECUTIVE OFFICER PURSUANT TO 18 U.S.C. SECTION 1350,</w:t>
      </w:r>
      <w:r>
        <w:rPr/>
        <w:t xml:space="preserve"> </w:t>
      </w:r>
    </w:p>
    <w:p>
      <w:pPr>
        <w:pStyle w:val="TextBody"/>
        <w:bidi w:val="0"/>
        <w:spacing w:lineRule="auto" w:line="336" w:before="0" w:after="0"/>
        <w:jc w:val="center"/>
        <w:rPr/>
      </w:pPr>
      <w:r>
        <w:rPr>
          <w:b/>
          <w:sz w:val="20"/>
        </w:rPr>
        <w:t>AS ADOPTED PURSUANT TO SECTION 906 OF THE SARBANES-OXLEY ACT OF 2002</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0" w:right="0" w:firstLine="720"/>
        <w:jc w:val="left"/>
        <w:rPr/>
      </w:pPr>
      <w:r>
        <w:rPr>
          <w:sz w:val="20"/>
        </w:rPr>
        <w:t>In connection with the quarterly report of Magnera Corporation (the “Registrant”) on Form 10-Q for the quarterly period ended June 28, 2025, as filed with the Securities and Exchange Commission on the date hereof (the “Report”), I, Curtis L. Begle, Chief Executive Officer of the Registrant, certify, pursuant to 18 U.S.C. Section 1350, as adopted pursuant to Section 906 of the Sarbanes-Oxley Act of 2002, that, to my knowledge:</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1) </w:t>
      </w:r>
    </w:p>
    <w:p>
      <w:pPr>
        <w:pStyle w:val="TextBody"/>
        <w:bidi w:val="0"/>
        <w:spacing w:lineRule="auto" w:line="336" w:before="0" w:after="0"/>
        <w:ind w:left="720" w:right="0" w:hanging="0"/>
        <w:jc w:val="left"/>
        <w:rPr>
          <w:sz w:val="20"/>
        </w:rPr>
      </w:pPr>
      <w:r>
        <w:rPr>
          <w:sz w:val="20"/>
        </w:rPr>
        <w:t xml:space="preserve">The Report fully complies with the requirements of section 13(a) or 15(d) of the Securities Exchange Act of 1934, as amended; and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2) </w:t>
      </w:r>
    </w:p>
    <w:p>
      <w:pPr>
        <w:pStyle w:val="TextBody"/>
        <w:bidi w:val="0"/>
        <w:spacing w:lineRule="auto" w:line="336" w:before="0" w:after="0"/>
        <w:ind w:left="720" w:right="0" w:hanging="0"/>
        <w:jc w:val="left"/>
        <w:rPr>
          <w:sz w:val="20"/>
        </w:rPr>
      </w:pPr>
      <w:r>
        <w:rPr>
          <w:sz w:val="20"/>
        </w:rPr>
        <w:t xml:space="preserve">The information contained in the Report fairly presents, in all material respects, the financial condition and results of operations of the Registrant.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sz w:val="20"/>
        </w:rPr>
        <w:t>Date: August 6, 2025</w:t>
      </w:r>
      <w:r>
        <w:rPr/>
        <w:t xml:space="preserve"> </w:t>
      </w:r>
    </w:p>
    <w:tbl>
      <w:tblPr>
        <w:tblW w:w="2552" w:type="dxa"/>
        <w:jc w:val="left"/>
        <w:tblInd w:w="0" w:type="dxa"/>
        <w:tblLayout w:type="fixed"/>
        <w:tblCellMar>
          <w:top w:w="0" w:type="dxa"/>
          <w:left w:w="0" w:type="dxa"/>
          <w:bottom w:w="0" w:type="dxa"/>
          <w:right w:w="0" w:type="dxa"/>
        </w:tblCellMar>
      </w:tblPr>
      <w:tblGrid>
        <w:gridCol w:w="421"/>
        <w:gridCol w:w="213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131" w:type="dxa"/>
            <w:tcBorders>
              <w:bottom w:val="single" w:sz="8" w:space="0" w:color="000000"/>
            </w:tcBorders>
            <w:tcMar>
              <w:bottom w:w="28" w:type="dxa"/>
            </w:tcMar>
            <w:vAlign w:val="center"/>
          </w:tcPr>
          <w:p>
            <w:pPr>
              <w:pStyle w:val="TableContents"/>
              <w:bidi w:val="0"/>
              <w:spacing w:before="53" w:after="30"/>
              <w:jc w:val="left"/>
              <w:rPr/>
            </w:pPr>
            <w:r>
              <w:rPr>
                <w:color w:val="000000"/>
                <w:sz w:val="20"/>
              </w:rPr>
              <w:t>/s/ 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Curtis L. Begle</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131" w:type="dxa"/>
            <w:tcBorders/>
            <w:vAlign w:val="center"/>
          </w:tcPr>
          <w:p>
            <w:pPr>
              <w:pStyle w:val="TableContents"/>
              <w:bidi w:val="0"/>
              <w:spacing w:before="53" w:after="30"/>
              <w:ind w:left="240" w:right="0" w:hanging="0"/>
              <w:jc w:val="left"/>
              <w:rPr/>
            </w:pPr>
            <w:r>
              <w:rPr>
                <w:color w:val="000000"/>
                <w:sz w:val="20"/>
              </w:rPr>
              <w:t>Chief Executive Officer</w:t>
            </w:r>
            <w:r>
              <w:rPr/>
              <w:t xml:space="preserve"> </w:t>
            </w:r>
          </w:p>
        </w:tc>
      </w:tr>
    </w:tbl>
    <w:p>
      <w:pPr>
        <w:pStyle w:val="TextBody"/>
        <w:bidi w:val="0"/>
        <w:spacing w:lineRule="auto" w:line="336"/>
        <w:jc w:val="left"/>
        <w:rPr/>
      </w:pPr>
      <w:r>
        <w:rPr/>
        <w:t xml:space="preserve">  </w:t>
      </w:r>
    </w:p>
    <w:p>
      <w:pPr>
        <w:pStyle w:val="TextBody"/>
        <w:bidi w:val="0"/>
        <w:spacing w:lineRule="auto" w:line="336" w:before="0" w:after="0"/>
        <w:jc w:val="right"/>
        <w:rPr/>
      </w:pPr>
      <w:bookmarkStart w:id="23" w:name="ex32-2.htm"/>
      <w:bookmarkStart w:id="24" w:name="ksex322"/>
      <w:bookmarkEnd w:id="23"/>
      <w:bookmarkEnd w:id="24"/>
      <w:r>
        <w:rPr>
          <w:b/>
          <w:sz w:val="20"/>
        </w:rPr>
        <w:t>Exhibit 32.2</w:t>
      </w:r>
      <w:r>
        <w:rPr/>
        <w:t xml:space="preserve"> </w:t>
      </w:r>
      <w:r>
        <w:br w:type="page"/>
      </w:r>
    </w:p>
    <w:p>
      <w:pPr>
        <w:pStyle w:val="TextBody"/>
        <w:bidi w:val="0"/>
        <w:spacing w:lineRule="auto" w:line="336" w:before="0" w:after="0"/>
        <w:jc w:val="right"/>
        <w:rPr/>
      </w:pPr>
      <w:r>
        <w:rPr/>
        <w:t xml:space="preserve">  </w:t>
      </w:r>
    </w:p>
    <w:p>
      <w:pPr>
        <w:pStyle w:val="TextBody"/>
        <w:bidi w:val="0"/>
        <w:spacing w:lineRule="auto" w:line="336" w:before="0" w:after="0"/>
        <w:jc w:val="center"/>
        <w:rPr/>
      </w:pPr>
      <w:r>
        <w:rPr/>
        <w:t xml:space="preserve">  </w:t>
      </w:r>
    </w:p>
    <w:p>
      <w:pPr>
        <w:pStyle w:val="TextBody"/>
        <w:bidi w:val="0"/>
        <w:spacing w:lineRule="auto" w:line="336" w:before="0" w:after="0"/>
        <w:jc w:val="center"/>
        <w:rPr/>
      </w:pPr>
      <w:r>
        <w:rPr>
          <w:b/>
          <w:sz w:val="20"/>
        </w:rPr>
        <w:t>CERTIFICATION OF THE CHIEF FINANCIAL OFFICER PURSUANT TO 18 U.S.C. SECTION 1350,</w:t>
      </w:r>
      <w:r>
        <w:rPr/>
        <w:t xml:space="preserve"> </w:t>
      </w:r>
    </w:p>
    <w:p>
      <w:pPr>
        <w:pStyle w:val="TextBody"/>
        <w:bidi w:val="0"/>
        <w:spacing w:lineRule="auto" w:line="336" w:before="0" w:after="0"/>
        <w:jc w:val="center"/>
        <w:rPr/>
      </w:pPr>
      <w:r>
        <w:rPr>
          <w:b/>
          <w:sz w:val="20"/>
        </w:rPr>
        <w:t>AS ADOPTED PURSUANT TO SECTION 906 OF THE SARBANES-OXLEY ACT OF 2002</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0" w:right="0" w:firstLine="720"/>
        <w:jc w:val="left"/>
        <w:rPr/>
      </w:pPr>
      <w:r>
        <w:rPr>
          <w:sz w:val="20"/>
        </w:rPr>
        <w:t>In connection with the quarterly report of Magnera Corporation (the “Registrant”) on Form 10-Q for the quarterly period ended June 28, 2025, as filed with the Securities and Exchange Commission on the date hereof (the “Report”), I, James M. Till, Chief Financial Officer of the Registrant, certify, pursuant to 18 U.S.C. Section 1350, as adopted pursuant to Section 906 of the Sarbanes-Oxley Act of 2002, that, to my knowledge:</w:t>
      </w: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1) </w:t>
      </w:r>
    </w:p>
    <w:p>
      <w:pPr>
        <w:pStyle w:val="TextBody"/>
        <w:bidi w:val="0"/>
        <w:spacing w:lineRule="auto" w:line="336" w:before="0" w:after="0"/>
        <w:ind w:left="720" w:right="0" w:hanging="0"/>
        <w:jc w:val="left"/>
        <w:rPr>
          <w:sz w:val="20"/>
        </w:rPr>
      </w:pPr>
      <w:r>
        <w:rPr>
          <w:sz w:val="20"/>
        </w:rPr>
        <w:t xml:space="preserve">The Report fully complies with the requirements of section 13(a) or 15(d) of the Securities Exchange Act of 1934, as amended; and </w:t>
      </w:r>
    </w:p>
    <w:p>
      <w:pPr>
        <w:pStyle w:val="TextBody"/>
        <w:bidi w:val="0"/>
        <w:spacing w:lineRule="auto" w:line="336" w:before="0" w:after="0"/>
        <w:jc w:val="left"/>
        <w:rPr/>
      </w:pPr>
      <w:r>
        <w:rPr/>
        <w:t xml:space="preserve">  </w:t>
      </w:r>
    </w:p>
    <w:p>
      <w:pPr>
        <w:pStyle w:val="TextBody"/>
        <w:bidi w:val="0"/>
        <w:spacing w:lineRule="auto" w:line="336" w:before="0" w:after="0"/>
        <w:ind w:left="360" w:right="0" w:hanging="0"/>
        <w:jc w:val="left"/>
        <w:rPr>
          <w:sz w:val="20"/>
        </w:rPr>
      </w:pPr>
      <w:r>
        <w:rPr>
          <w:sz w:val="20"/>
        </w:rPr>
        <w:t xml:space="preserve">2) </w:t>
      </w:r>
    </w:p>
    <w:p>
      <w:pPr>
        <w:pStyle w:val="TextBody"/>
        <w:bidi w:val="0"/>
        <w:spacing w:lineRule="auto" w:line="336" w:before="0" w:after="0"/>
        <w:ind w:left="720" w:right="0" w:hanging="0"/>
        <w:jc w:val="left"/>
        <w:rPr>
          <w:sz w:val="20"/>
        </w:rPr>
      </w:pPr>
      <w:r>
        <w:rPr>
          <w:sz w:val="20"/>
        </w:rPr>
        <w:t xml:space="preserve">The information contained in the Report fairly presents, in all material respects, the financial condition and results of operations of the Registrant.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t xml:space="preserve">  </w:t>
      </w:r>
    </w:p>
    <w:p>
      <w:pPr>
        <w:pStyle w:val="TextBody"/>
        <w:bidi w:val="0"/>
        <w:spacing w:lineRule="auto" w:line="336" w:before="0" w:after="0"/>
        <w:jc w:val="left"/>
        <w:rPr/>
      </w:pPr>
      <w:r>
        <w:rPr>
          <w:sz w:val="20"/>
        </w:rPr>
        <w:t>Date: August 6, 2025</w:t>
      </w:r>
      <w:r>
        <w:rPr/>
        <w:t xml:space="preserve"> </w:t>
      </w:r>
    </w:p>
    <w:tbl>
      <w:tblPr>
        <w:tblW w:w="2492" w:type="dxa"/>
        <w:jc w:val="left"/>
        <w:tblInd w:w="0" w:type="dxa"/>
        <w:tblLayout w:type="fixed"/>
        <w:tblCellMar>
          <w:top w:w="0" w:type="dxa"/>
          <w:left w:w="0" w:type="dxa"/>
          <w:bottom w:w="0" w:type="dxa"/>
          <w:right w:w="0" w:type="dxa"/>
        </w:tblCellMar>
      </w:tblPr>
      <w:tblGrid>
        <w:gridCol w:w="421"/>
        <w:gridCol w:w="2071"/>
      </w:tblGrid>
      <w:tr>
        <w:trPr/>
        <w:tc>
          <w:tcPr>
            <w:tcW w:w="421" w:type="dxa"/>
            <w:tcBorders/>
            <w:vAlign w:val="center"/>
          </w:tcPr>
          <w:p>
            <w:pPr>
              <w:pStyle w:val="TableContents"/>
              <w:bidi w:val="0"/>
              <w:spacing w:before="53" w:after="30"/>
              <w:jc w:val="left"/>
              <w:rPr/>
            </w:pPr>
            <w:r>
              <w:rPr>
                <w:color w:val="000000"/>
                <w:sz w:val="20"/>
              </w:rPr>
              <w:t>By</w:t>
            </w:r>
            <w:r>
              <w:rPr/>
              <w:t xml:space="preserve"> </w:t>
            </w:r>
          </w:p>
        </w:tc>
        <w:tc>
          <w:tcPr>
            <w:tcW w:w="2071" w:type="dxa"/>
            <w:tcBorders>
              <w:bottom w:val="single" w:sz="8" w:space="0" w:color="000000"/>
            </w:tcBorders>
            <w:tcMar>
              <w:bottom w:w="28" w:type="dxa"/>
            </w:tcMar>
            <w:vAlign w:val="center"/>
          </w:tcPr>
          <w:p>
            <w:pPr>
              <w:pStyle w:val="TableContents"/>
              <w:bidi w:val="0"/>
              <w:spacing w:before="53" w:after="30"/>
              <w:jc w:val="left"/>
              <w:rPr/>
            </w:pPr>
            <w:r>
              <w:rPr>
                <w:sz w:val="20"/>
              </w:rPr>
              <w:t>/s/ 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top w:val="single" w:sz="8" w:space="0" w:color="000000"/>
            </w:tcBorders>
            <w:tcMar>
              <w:top w:w="28" w:type="dxa"/>
            </w:tcMar>
            <w:vAlign w:val="center"/>
          </w:tcPr>
          <w:p>
            <w:pPr>
              <w:pStyle w:val="TableContents"/>
              <w:bidi w:val="0"/>
              <w:spacing w:before="33" w:after="30"/>
              <w:ind w:left="240" w:right="0" w:hanging="0"/>
              <w:jc w:val="left"/>
              <w:rPr/>
            </w:pPr>
            <w:r>
              <w:rPr>
                <w:sz w:val="20"/>
              </w:rPr>
              <w:t>James M. Till</w:t>
            </w:r>
            <w:r>
              <w:rPr/>
              <w:t xml:space="preserve"> </w:t>
            </w:r>
          </w:p>
        </w:tc>
      </w:tr>
      <w:tr>
        <w:trPr/>
        <w:tc>
          <w:tcPr>
            <w:tcW w:w="421" w:type="dxa"/>
            <w:tcBorders/>
            <w:tcMar>
              <w:top w:w="28" w:type="dxa"/>
              <w:left w:w="28" w:type="dxa"/>
              <w:bottom w:w="28" w:type="dxa"/>
              <w:right w:w="28" w:type="dxa"/>
            </w:tcMar>
            <w:vAlign w:val="center"/>
          </w:tcPr>
          <w:p>
            <w:pPr>
              <w:pStyle w:val="TableContents"/>
              <w:bidi w:val="0"/>
              <w:spacing w:before="0" w:after="283"/>
              <w:jc w:val="left"/>
              <w:rPr/>
            </w:pPr>
            <w:r>
              <w:rPr/>
              <w:t xml:space="preserve">  </w:t>
            </w:r>
          </w:p>
        </w:tc>
        <w:tc>
          <w:tcPr>
            <w:tcW w:w="2071" w:type="dxa"/>
            <w:tcBorders/>
            <w:vAlign w:val="center"/>
          </w:tcPr>
          <w:p>
            <w:pPr>
              <w:pStyle w:val="TableContents"/>
              <w:bidi w:val="0"/>
              <w:spacing w:before="53" w:after="30"/>
              <w:ind w:left="0" w:right="0" w:hanging="90"/>
              <w:jc w:val="left"/>
              <w:rPr/>
            </w:pPr>
            <w:r>
              <w:rPr>
                <w:sz w:val="20"/>
              </w:rPr>
              <w:t>Chief Financial Officer</w:t>
            </w:r>
            <w:r>
              <w:rPr/>
              <w:t xml:space="preserve"> </w:t>
            </w:r>
          </w:p>
        </w:tc>
      </w:tr>
    </w:tbl>
    <w:p>
      <w:pPr>
        <w:pStyle w:val="TextBody"/>
        <w:bidi w:val="0"/>
        <w:spacing w:lineRule="auto" w:line="336"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9719</Words>
  <Characters>53224</Characters>
  <CharactersWithSpaces>64452</CharactersWithSpaces>
  <Paragraphs>3488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