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324" w:before="0" w:after="20"/>
        <w:jc w:val="center"/>
        <w:rPr>
          <w:rFonts w:ascii="Times New Roman" w:hAnsi="Times New Roman"/>
          <w:sz w:val="18"/>
          <w:bdr w:val="single" w:sz="2" w:space="1" w:color="000000"/>
        </w:rPr>
      </w:pPr>
      <w:bookmarkStart w:id="0" w:name="form10k.htm"/>
      <w:bookmarkStart w:id="1" w:name="ksform10k"/>
      <w:bookmarkEnd w:id="0"/>
      <w:bookmarkEnd w:id="1"/>
      <w:r>
        <w:rPr>
          <w:rFonts w:ascii="Times New Roman" w:hAnsi="Times New Roman"/>
          <w:b/>
          <w:sz w:val="18"/>
          <w:bdr w:val="single" w:sz="2" w:space="1" w:color="000000"/>
        </w:rPr>
        <w:t>UNITED STATES</w:t>
      </w:r>
      <w:r>
        <w:rPr>
          <w:rFonts w:ascii="Times New Roman" w:hAnsi="Times New Roman"/>
          <w:sz w:val="18"/>
          <w:bdr w:val="single" w:sz="2" w:space="1" w:color="000000"/>
        </w:rPr>
        <w:t xml:space="preserve"> </w:t>
      </w:r>
    </w:p>
    <w:p>
      <w:pPr>
        <w:pStyle w:val="TextBody"/>
        <w:bidi w:val="0"/>
        <w:spacing w:lineRule="atLeast" w:line="324" w:before="0" w:after="0"/>
        <w:jc w:val="center"/>
        <w:rPr>
          <w:rFonts w:ascii="Times New Roman" w:hAnsi="Times New Roman"/>
          <w:sz w:val="18"/>
          <w:bdr w:val="single" w:sz="2" w:space="1" w:color="000000"/>
        </w:rPr>
      </w:pPr>
      <w:r>
        <w:rPr>
          <w:rFonts w:ascii="Times New Roman" w:hAnsi="Times New Roman"/>
          <w:b/>
          <w:sz w:val="18"/>
          <w:bdr w:val="single" w:sz="2" w:space="1" w:color="000000"/>
        </w:rPr>
        <w:t>SECURITIES AND EXCHANGE COMMISSION</w:t>
      </w:r>
      <w:r>
        <w:rPr>
          <w:rFonts w:ascii="Times New Roman" w:hAnsi="Times New Roman"/>
          <w:sz w:val="18"/>
          <w:bdr w:val="single" w:sz="2" w:space="1" w:color="000000"/>
        </w:rPr>
        <w:t xml:space="preserve"> </w:t>
      </w:r>
    </w:p>
    <w:p>
      <w:pPr>
        <w:pStyle w:val="TextBody"/>
        <w:bidi w:val="0"/>
        <w:spacing w:lineRule="atLeast" w:line="324" w:before="0" w:after="0"/>
        <w:jc w:val="center"/>
        <w:rPr>
          <w:rFonts w:ascii="Times New Roman" w:hAnsi="Times New Roman"/>
          <w:sz w:val="18"/>
          <w:bdr w:val="single" w:sz="2" w:space="1" w:color="000000"/>
        </w:rPr>
      </w:pPr>
      <w:r>
        <w:rPr>
          <w:rFonts w:ascii="Times New Roman" w:hAnsi="Times New Roman"/>
          <w:b/>
          <w:sz w:val="18"/>
          <w:bdr w:val="single" w:sz="2" w:space="1" w:color="000000"/>
        </w:rPr>
        <w:t>WASHINGTON, D.C. 20549</w:t>
      </w:r>
      <w:r>
        <w:rPr>
          <w:rFonts w:ascii="Times New Roman" w:hAnsi="Times New Roman"/>
          <w:sz w:val="18"/>
          <w:bdr w:val="single" w:sz="2" w:space="1" w:color="000000"/>
        </w:rPr>
        <w:t xml:space="preserve"> </w:t>
      </w:r>
    </w:p>
    <w:p>
      <w:pPr>
        <w:pStyle w:val="TextBody"/>
        <w:bidi w:val="0"/>
        <w:spacing w:lineRule="atLeast" w:line="243" w:before="0" w:after="0"/>
        <w:jc w:val="center"/>
        <w:rPr>
          <w:bdr w:val="single" w:sz="2" w:space="1" w:color="000000"/>
        </w:rPr>
      </w:pPr>
      <w:r>
        <w:rPr>
          <w:bdr w:val="single" w:sz="2" w:space="1" w:color="000000"/>
        </w:rPr>
        <w:t xml:space="preserve">  </w:t>
      </w:r>
    </w:p>
    <w:tbl>
      <w:tblPr>
        <w:tblW w:w="266" w:type="dxa"/>
        <w:jc w:val="left"/>
        <w:tblInd w:w="0" w:type="dxa"/>
        <w:tblLayout w:type="fixed"/>
        <w:tblCellMar>
          <w:top w:w="28" w:type="dxa"/>
          <w:left w:w="0" w:type="dxa"/>
          <w:bottom w:w="0" w:type="dxa"/>
          <w:right w:w="0" w:type="dxa"/>
        </w:tblCellMar>
      </w:tblPr>
      <w:tblGrid>
        <w:gridCol w:w="266"/>
      </w:tblGrid>
      <w:tr>
        <w:trPr/>
        <w:tc>
          <w:tcPr>
            <w:tcW w:w="266" w:type="dxa"/>
            <w:tcBorders>
              <w:top w:val="single" w:sz="8" w:space="0" w:color="000000"/>
            </w:tcBorders>
            <w:vAlign w:val="center"/>
          </w:tcPr>
          <w:p>
            <w:pPr>
              <w:pStyle w:val="TableContents"/>
              <w:bidi w:val="0"/>
              <w:spacing w:before="0" w:after="0"/>
              <w:jc w:val="left"/>
              <w:rPr/>
            </w:pPr>
            <w:r>
              <w:rPr/>
              <w:t xml:space="preserve">  </w:t>
            </w:r>
          </w:p>
        </w:tc>
      </w:tr>
    </w:tbl>
    <w:p>
      <w:pPr>
        <w:pStyle w:val="TextBody"/>
        <w:bidi w:val="0"/>
        <w:spacing w:lineRule="atLeast" w:line="324" w:before="60" w:after="283"/>
        <w:jc w:val="center"/>
        <w:rPr>
          <w:rFonts w:ascii="Times New Roman" w:hAnsi="Times New Roman"/>
          <w:sz w:val="18"/>
          <w:bdr w:val="single" w:sz="2" w:space="1" w:color="000000"/>
        </w:rPr>
      </w:pPr>
      <w:r>
        <w:rPr>
          <w:rFonts w:ascii="Times New Roman" w:hAnsi="Times New Roman"/>
          <w:b/>
          <w:sz w:val="18"/>
          <w:bdr w:val="single" w:sz="2" w:space="1" w:color="000000"/>
        </w:rPr>
        <w:t xml:space="preserve">FORM </w:t>
      </w:r>
      <w:r>
        <w:rPr>
          <w:rFonts w:ascii="Times New Roman" w:hAnsi="Times New Roman"/>
          <w:b/>
          <w:color w:val="000000"/>
          <w:sz w:val="18"/>
          <w:bdr w:val="single" w:sz="2" w:space="1" w:color="000000"/>
        </w:rPr>
        <w:t>10-K</w:t>
      </w:r>
      <w:r>
        <w:rPr>
          <w:rFonts w:ascii="Times New Roman" w:hAnsi="Times New Roman"/>
          <w:sz w:val="18"/>
          <w:bdr w:val="single" w:sz="2" w:space="1" w:color="000000"/>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8" w:space="0" w:color="000000"/>
            </w:tcBorders>
            <w:vAlign w:val="center"/>
          </w:tcPr>
          <w:p>
            <w:pPr>
              <w:pStyle w:val="TableContents"/>
              <w:bidi w:val="0"/>
              <w:spacing w:before="0" w:after="0"/>
              <w:jc w:val="left"/>
              <w:rPr/>
            </w:pPr>
            <w:r>
              <w:rPr/>
              <w:t xml:space="preserve">  </w:t>
            </w:r>
          </w:p>
        </w:tc>
      </w:tr>
    </w:tbl>
    <w:p>
      <w:pPr>
        <w:pStyle w:val="TextBody"/>
        <w:bidi w:val="0"/>
        <w:spacing w:lineRule="atLeast" w:line="142" w:before="20" w:after="283"/>
        <w:jc w:val="left"/>
        <w:rPr>
          <w:bdr w:val="single" w:sz="2" w:space="1" w:color="000000"/>
        </w:rPr>
      </w:pPr>
      <w:r>
        <w:rPr>
          <w:bdr w:val="single" w:sz="2" w:space="1" w:color="000000"/>
        </w:rPr>
        <w:t xml:space="preserve">  </w:t>
      </w:r>
    </w:p>
    <w:tbl>
      <w:tblPr>
        <w:tblW w:w="9497" w:type="dxa"/>
        <w:jc w:val="left"/>
        <w:tblInd w:w="0" w:type="dxa"/>
        <w:tblLayout w:type="fixed"/>
        <w:tblCellMar>
          <w:top w:w="0" w:type="dxa"/>
          <w:left w:w="0" w:type="dxa"/>
          <w:bottom w:w="0" w:type="dxa"/>
          <w:right w:w="0" w:type="dxa"/>
        </w:tblCellMar>
      </w:tblPr>
      <w:tblGrid>
        <w:gridCol w:w="391"/>
        <w:gridCol w:w="9106"/>
      </w:tblGrid>
      <w:tr>
        <w:trPr/>
        <w:tc>
          <w:tcPr>
            <w:tcW w:w="391" w:type="dxa"/>
            <w:tcBorders/>
            <w:vAlign w:val="center"/>
          </w:tcPr>
          <w:p>
            <w:pPr>
              <w:pStyle w:val="TableContents"/>
              <w:bidi w:val="0"/>
              <w:spacing w:lineRule="atLeast" w:line="175" w:before="65" w:after="20"/>
              <w:jc w:val="left"/>
              <w:rPr/>
            </w:pPr>
            <w:r>
              <w:rPr>
                <w:color w:val="000000"/>
              </w:rPr>
              <w:t>☒</w:t>
            </w:r>
            <w:r>
              <w:rPr/>
              <w:t xml:space="preserve"> </w:t>
            </w:r>
          </w:p>
        </w:tc>
        <w:tc>
          <w:tcPr>
            <w:tcW w:w="9106" w:type="dxa"/>
            <w:tcBorders/>
            <w:vAlign w:val="center"/>
          </w:tcPr>
          <w:p>
            <w:pPr>
              <w:pStyle w:val="TableContents"/>
              <w:bidi w:val="0"/>
              <w:spacing w:lineRule="atLeast" w:line="175" w:before="65" w:after="20"/>
              <w:jc w:val="left"/>
              <w:rPr/>
            </w:pPr>
            <w:r>
              <w:rPr>
                <w:b/>
                <w:sz w:val="18"/>
              </w:rPr>
              <w:t>ANNUAL REPORT PURSUANT TO SECTION 13 OR 15(d) OF THE SECURITIES EXCHANGE ACT OF 1934</w:t>
            </w:r>
            <w:r>
              <w:rPr/>
              <w:t xml:space="preserve"> </w:t>
            </w:r>
          </w:p>
        </w:tc>
      </w:tr>
    </w:tbl>
    <w:p>
      <w:pPr>
        <w:pStyle w:val="TextBody"/>
        <w:bidi w:val="0"/>
        <w:spacing w:before="40" w:after="283"/>
        <w:jc w:val="center"/>
        <w:rPr>
          <w:rFonts w:ascii="Times New Roman" w:hAnsi="Times New Roman"/>
          <w:sz w:val="18"/>
          <w:bdr w:val="single" w:sz="2" w:space="1" w:color="000000"/>
        </w:rPr>
      </w:pPr>
      <w:r>
        <w:rPr>
          <w:rFonts w:ascii="Times New Roman" w:hAnsi="Times New Roman"/>
          <w:b/>
          <w:sz w:val="18"/>
          <w:bdr w:val="single" w:sz="2" w:space="1" w:color="000000"/>
        </w:rPr>
        <w:t xml:space="preserve">For the fiscal year ended </w:t>
      </w:r>
      <w:r>
        <w:rPr>
          <w:rFonts w:ascii="Times New Roman" w:hAnsi="Times New Roman"/>
          <w:b/>
          <w:color w:val="000000"/>
          <w:sz w:val="18"/>
          <w:bdr w:val="single" w:sz="2" w:space="1" w:color="000000"/>
        </w:rPr>
        <w:t>September 27, 2025</w:t>
      </w:r>
      <w:r>
        <w:rPr>
          <w:rFonts w:ascii="Times New Roman" w:hAnsi="Times New Roman"/>
          <w:sz w:val="18"/>
          <w:bdr w:val="single" w:sz="2" w:space="1" w:color="000000"/>
        </w:rPr>
        <w:t xml:space="preserve"> </w:t>
      </w:r>
    </w:p>
    <w:p>
      <w:pPr>
        <w:pStyle w:val="TextBody"/>
        <w:bidi w:val="0"/>
        <w:spacing w:lineRule="atLeast" w:line="263" w:before="40" w:after="283"/>
        <w:jc w:val="center"/>
        <w:rPr>
          <w:rFonts w:ascii="Times New Roman" w:hAnsi="Times New Roman"/>
          <w:sz w:val="18"/>
          <w:bdr w:val="single" w:sz="2" w:space="1" w:color="000000"/>
        </w:rPr>
      </w:pPr>
      <w:r>
        <w:rPr>
          <w:rFonts w:ascii="Times New Roman" w:hAnsi="Times New Roman"/>
          <w:sz w:val="18"/>
          <w:bdr w:val="single" w:sz="2" w:space="1" w:color="000000"/>
        </w:rPr>
        <w:t xml:space="preserve">or </w:t>
      </w:r>
    </w:p>
    <w:tbl>
      <w:tblPr>
        <w:tblW w:w="9872" w:type="dxa"/>
        <w:jc w:val="left"/>
        <w:tblInd w:w="0" w:type="dxa"/>
        <w:tblLayout w:type="fixed"/>
        <w:tblCellMar>
          <w:top w:w="0" w:type="dxa"/>
          <w:left w:w="0" w:type="dxa"/>
          <w:bottom w:w="0" w:type="dxa"/>
          <w:right w:w="0" w:type="dxa"/>
        </w:tblCellMar>
      </w:tblPr>
      <w:tblGrid>
        <w:gridCol w:w="391"/>
        <w:gridCol w:w="9481"/>
      </w:tblGrid>
      <w:tr>
        <w:trPr/>
        <w:tc>
          <w:tcPr>
            <w:tcW w:w="391" w:type="dxa"/>
            <w:tcBorders/>
            <w:vAlign w:val="center"/>
          </w:tcPr>
          <w:p>
            <w:pPr>
              <w:pStyle w:val="TableContents"/>
              <w:bidi w:val="0"/>
              <w:spacing w:lineRule="atLeast" w:line="175" w:before="65" w:after="20"/>
              <w:jc w:val="left"/>
              <w:rPr/>
            </w:pPr>
            <w:r>
              <w:rPr>
                <w:color w:val="000000"/>
              </w:rPr>
              <w:t>☐</w:t>
            </w:r>
            <w:r>
              <w:rPr/>
              <w:t xml:space="preserve"> </w:t>
            </w:r>
          </w:p>
        </w:tc>
        <w:tc>
          <w:tcPr>
            <w:tcW w:w="9481" w:type="dxa"/>
            <w:tcBorders/>
            <w:vAlign w:val="center"/>
          </w:tcPr>
          <w:p>
            <w:pPr>
              <w:pStyle w:val="TableContents"/>
              <w:bidi w:val="0"/>
              <w:spacing w:lineRule="atLeast" w:line="175" w:before="65" w:after="20"/>
              <w:jc w:val="left"/>
              <w:rPr/>
            </w:pPr>
            <w:r>
              <w:rPr>
                <w:b/>
                <w:sz w:val="18"/>
              </w:rPr>
              <w:t>TRANSITION REPORT PURSUANT TO SECTION 13 OR 15(d) OF THE SECURITIES EXCHANGE ACT OF 1934</w:t>
            </w:r>
            <w:r>
              <w:rPr/>
              <w:t xml:space="preserve"> </w:t>
            </w:r>
          </w:p>
        </w:tc>
      </w:tr>
    </w:tbl>
    <w:p>
      <w:pPr>
        <w:pStyle w:val="TextBody"/>
        <w:bidi w:val="0"/>
        <w:spacing w:before="40" w:after="283"/>
        <w:jc w:val="center"/>
        <w:rPr>
          <w:bdr w:val="single" w:sz="2" w:space="1" w:color="000000"/>
        </w:rPr>
      </w:pPr>
      <w:r>
        <w:rPr>
          <w:bdr w:val="single" w:sz="2" w:space="1" w:color="000000"/>
        </w:rPr>
        <w:t>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8" w:space="0" w:color="000000"/>
            </w:tcBorders>
            <w:vAlign w:val="center"/>
          </w:tcPr>
          <w:p>
            <w:pPr>
              <w:pStyle w:val="TableContents"/>
              <w:bidi w:val="0"/>
              <w:spacing w:before="0" w:after="0"/>
              <w:jc w:val="left"/>
              <w:rPr/>
            </w:pPr>
            <w:r>
              <w:rPr/>
              <w:t xml:space="preserve">  </w:t>
            </w:r>
          </w:p>
        </w:tc>
      </w:tr>
    </w:tbl>
    <w:p>
      <w:pPr>
        <w:pStyle w:val="TextBody"/>
        <w:bidi w:val="0"/>
        <w:spacing w:before="40" w:after="283"/>
        <w:jc w:val="center"/>
        <w:rPr>
          <w:bdr w:val="single" w:sz="2" w:space="1" w:color="000000"/>
        </w:rPr>
      </w:pPr>
      <w:r>
        <w:rPr>
          <w:bdr w:val="single" w:sz="2" w:space="1" w:color="000000"/>
        </w:rPr>
        <w:drawing>
          <wp:inline distT="0" distB="0" distL="0" distR="0">
            <wp:extent cx="21050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5025" cy="552450"/>
                    </a:xfrm>
                    <a:prstGeom prst="rect">
                      <a:avLst/>
                    </a:prstGeom>
                  </pic:spPr>
                </pic:pic>
              </a:graphicData>
            </a:graphic>
          </wp:inline>
        </w:drawing>
      </w:r>
      <w:r>
        <w:rPr>
          <w:bdr w:val="single" w:sz="2" w:space="1" w:color="000000"/>
        </w:rPr>
        <w:t xml:space="preserve"> </w:t>
      </w:r>
    </w:p>
    <w:tbl>
      <w:tblPr>
        <w:tblW w:w="266" w:type="dxa"/>
        <w:jc w:val="left"/>
        <w:tblInd w:w="0" w:type="dxa"/>
        <w:tblLayout w:type="fixed"/>
        <w:tblCellMar>
          <w:top w:w="28" w:type="dxa"/>
          <w:left w:w="0" w:type="dxa"/>
          <w:bottom w:w="0" w:type="dxa"/>
          <w:right w:w="0" w:type="dxa"/>
        </w:tblCellMar>
      </w:tblPr>
      <w:tblGrid>
        <w:gridCol w:w="266"/>
      </w:tblGrid>
      <w:tr>
        <w:trPr/>
        <w:tc>
          <w:tcPr>
            <w:tcW w:w="266" w:type="dxa"/>
            <w:tcBorders>
              <w:top w:val="single" w:sz="2" w:space="0" w:color="000000"/>
            </w:tcBorders>
            <w:vAlign w:val="center"/>
          </w:tcPr>
          <w:p>
            <w:pPr>
              <w:pStyle w:val="TableContents"/>
              <w:bidi w:val="0"/>
              <w:spacing w:before="0" w:after="0"/>
              <w:jc w:val="left"/>
              <w:rPr/>
            </w:pPr>
            <w:r>
              <w:rPr/>
              <w:t xml:space="preserve">  </w:t>
            </w:r>
          </w:p>
        </w:tc>
      </w:tr>
    </w:tbl>
    <w:p>
      <w:pPr>
        <w:pStyle w:val="TextBody"/>
        <w:bidi w:val="0"/>
        <w:spacing w:lineRule="atLeast" w:line="243" w:before="60" w:after="283"/>
        <w:jc w:val="center"/>
        <w:rPr>
          <w:rFonts w:ascii="Times New Roman" w:hAnsi="Times New Roman"/>
          <w:sz w:val="18"/>
          <w:bdr w:val="single" w:sz="2" w:space="1" w:color="000000"/>
        </w:rPr>
      </w:pPr>
      <w:r>
        <w:rPr>
          <w:rFonts w:ascii="Times New Roman" w:hAnsi="Times New Roman"/>
          <w:color w:val="000000"/>
          <w:sz w:val="16"/>
          <w:bdr w:val="single" w:sz="2" w:space="1" w:color="000000"/>
        </w:rPr>
        <w:t>9335 Harris Corners Pkwy</w:t>
      </w:r>
      <w:r>
        <w:rPr>
          <w:rFonts w:ascii="Times New Roman" w:hAnsi="Times New Roman"/>
          <w:sz w:val="16"/>
          <w:bdr w:val="single" w:sz="2" w:space="1" w:color="000000"/>
        </w:rPr>
        <w:t xml:space="preserve">, </w:t>
      </w:r>
      <w:r>
        <w:rPr>
          <w:rFonts w:ascii="Times New Roman" w:hAnsi="Times New Roman"/>
          <w:color w:val="000000"/>
          <w:sz w:val="16"/>
          <w:bdr w:val="single" w:sz="2" w:space="1" w:color="000000"/>
        </w:rPr>
        <w:t>Suite 300</w:t>
      </w:r>
      <w:r>
        <w:rPr>
          <w:rFonts w:ascii="Times New Roman" w:hAnsi="Times New Roman"/>
          <w:sz w:val="18"/>
          <w:bdr w:val="single" w:sz="2" w:space="1" w:color="000000"/>
        </w:rPr>
        <w:t xml:space="preserve"> </w:t>
      </w:r>
    </w:p>
    <w:p>
      <w:pPr>
        <w:pStyle w:val="TextBody"/>
        <w:bidi w:val="0"/>
        <w:spacing w:lineRule="atLeast" w:line="243" w:before="0" w:after="0"/>
        <w:jc w:val="center"/>
        <w:rPr>
          <w:rFonts w:ascii="Times New Roman" w:hAnsi="Times New Roman"/>
          <w:sz w:val="18"/>
          <w:bdr w:val="single" w:sz="2" w:space="1" w:color="000000"/>
        </w:rPr>
      </w:pPr>
      <w:r>
        <w:rPr>
          <w:rFonts w:ascii="Times New Roman" w:hAnsi="Times New Roman"/>
          <w:color w:val="000000"/>
          <w:sz w:val="16"/>
          <w:bdr w:val="single" w:sz="2" w:space="1" w:color="000000"/>
        </w:rPr>
        <w:t>Charlotte</w:t>
      </w:r>
      <w:r>
        <w:rPr>
          <w:rFonts w:ascii="Times New Roman" w:hAnsi="Times New Roman"/>
          <w:sz w:val="16"/>
          <w:bdr w:val="single" w:sz="2" w:space="1" w:color="000000"/>
        </w:rPr>
        <w:t xml:space="preserve">, </w:t>
      </w:r>
      <w:r>
        <w:rPr>
          <w:rFonts w:ascii="Times New Roman" w:hAnsi="Times New Roman"/>
          <w:color w:val="000000"/>
          <w:sz w:val="16"/>
          <w:bdr w:val="single" w:sz="2" w:space="1" w:color="000000"/>
        </w:rPr>
        <w:t>North Carolina</w:t>
      </w:r>
      <w:r>
        <w:rPr>
          <w:rFonts w:ascii="Times New Roman" w:hAnsi="Times New Roman"/>
          <w:sz w:val="18"/>
          <w:bdr w:val="single" w:sz="2" w:space="1" w:color="000000"/>
        </w:rPr>
        <w:t> </w:t>
      </w:r>
      <w:r>
        <w:rPr>
          <w:rFonts w:ascii="Times New Roman" w:hAnsi="Times New Roman"/>
          <w:color w:val="000000"/>
          <w:sz w:val="16"/>
          <w:bdr w:val="single" w:sz="2" w:space="1" w:color="000000"/>
        </w:rPr>
        <w:t>28269</w:t>
      </w:r>
      <w:r>
        <w:rPr>
          <w:rFonts w:ascii="Times New Roman" w:hAnsi="Times New Roman"/>
          <w:sz w:val="18"/>
          <w:bdr w:val="single" w:sz="2" w:space="1" w:color="000000"/>
        </w:rPr>
        <w:t xml:space="preserve"> </w:t>
      </w:r>
    </w:p>
    <w:p>
      <w:pPr>
        <w:pStyle w:val="TextBody"/>
        <w:bidi w:val="0"/>
        <w:spacing w:lineRule="atLeast" w:line="243" w:before="0" w:after="0"/>
        <w:jc w:val="center"/>
        <w:rPr>
          <w:rFonts w:ascii="Times New Roman" w:hAnsi="Times New Roman"/>
          <w:sz w:val="18"/>
          <w:bdr w:val="single" w:sz="2" w:space="1" w:color="000000"/>
        </w:rPr>
      </w:pPr>
      <w:r>
        <w:rPr>
          <w:rFonts w:ascii="Times New Roman" w:hAnsi="Times New Roman"/>
          <w:sz w:val="16"/>
          <w:bdr w:val="single" w:sz="2" w:space="1" w:color="000000"/>
        </w:rPr>
        <w:t>(Address of principal executive offices)</w:t>
      </w:r>
      <w:r>
        <w:rPr>
          <w:rFonts w:ascii="Times New Roman" w:hAnsi="Times New Roman"/>
          <w:sz w:val="18"/>
          <w:bdr w:val="single" w:sz="2" w:space="1" w:color="000000"/>
        </w:rPr>
        <w:t xml:space="preserve"> </w:t>
      </w:r>
    </w:p>
    <w:p>
      <w:pPr>
        <w:pStyle w:val="TextBody"/>
        <w:bidi w:val="0"/>
        <w:spacing w:lineRule="atLeast" w:line="243" w:before="100" w:after="283"/>
        <w:jc w:val="center"/>
        <w:rPr>
          <w:rFonts w:ascii="Times New Roman" w:hAnsi="Times New Roman"/>
          <w:sz w:val="18"/>
          <w:bdr w:val="single" w:sz="2" w:space="1" w:color="000000"/>
        </w:rPr>
      </w:pPr>
      <w:r>
        <w:rPr>
          <w:rFonts w:ascii="Times New Roman" w:hAnsi="Times New Roman"/>
          <w:sz w:val="16"/>
          <w:bdr w:val="single" w:sz="2" w:space="1" w:color="000000"/>
        </w:rPr>
        <w:t>(</w:t>
      </w:r>
      <w:r>
        <w:rPr>
          <w:rFonts w:ascii="Times New Roman" w:hAnsi="Times New Roman"/>
          <w:color w:val="000000"/>
          <w:sz w:val="16"/>
          <w:bdr w:val="single" w:sz="2" w:space="1" w:color="000000"/>
        </w:rPr>
        <w:t>866</w:t>
      </w:r>
      <w:r>
        <w:rPr>
          <w:rFonts w:ascii="Times New Roman" w:hAnsi="Times New Roman"/>
          <w:sz w:val="16"/>
          <w:bdr w:val="single" w:sz="2" w:space="1" w:color="000000"/>
        </w:rPr>
        <w:t xml:space="preserve">) </w:t>
      </w:r>
      <w:r>
        <w:rPr>
          <w:rFonts w:ascii="Times New Roman" w:hAnsi="Times New Roman"/>
          <w:color w:val="000000"/>
          <w:sz w:val="16"/>
          <w:bdr w:val="single" w:sz="2" w:space="1" w:color="000000"/>
        </w:rPr>
        <w:t>744-7380</w:t>
      </w:r>
      <w:r>
        <w:rPr>
          <w:rFonts w:ascii="Times New Roman" w:hAnsi="Times New Roman"/>
          <w:sz w:val="18"/>
          <w:bdr w:val="single" w:sz="2" w:space="1" w:color="000000"/>
        </w:rPr>
        <w:t xml:space="preserve"> </w:t>
      </w:r>
    </w:p>
    <w:p>
      <w:pPr>
        <w:pStyle w:val="TextBody"/>
        <w:bidi w:val="0"/>
        <w:spacing w:lineRule="atLeast" w:line="243" w:before="0" w:after="0"/>
        <w:jc w:val="center"/>
        <w:rPr>
          <w:rFonts w:ascii="Times New Roman" w:hAnsi="Times New Roman"/>
          <w:sz w:val="18"/>
          <w:bdr w:val="single" w:sz="2" w:space="1" w:color="000000"/>
        </w:rPr>
      </w:pPr>
      <w:r>
        <w:rPr>
          <w:rFonts w:ascii="Times New Roman" w:hAnsi="Times New Roman"/>
          <w:sz w:val="16"/>
          <w:bdr w:val="single" w:sz="2" w:space="1" w:color="000000"/>
        </w:rPr>
        <w:t>(Registrant's telephone number, including area code)</w:t>
      </w:r>
      <w:r>
        <w:rPr>
          <w:rFonts w:ascii="Times New Roman" w:hAnsi="Times New Roman"/>
          <w:sz w:val="18"/>
          <w:bdr w:val="single" w:sz="2" w:space="1" w:color="000000"/>
        </w:rPr>
        <w:t xml:space="preserve"> </w:t>
      </w:r>
    </w:p>
    <w:p>
      <w:pPr>
        <w:pStyle w:val="TextBody"/>
        <w:bidi w:val="0"/>
        <w:spacing w:lineRule="atLeast" w:line="189" w:before="0" w:after="0"/>
        <w:jc w:val="left"/>
        <w:rPr>
          <w:bdr w:val="single" w:sz="2" w:space="1" w:color="000000"/>
        </w:rPr>
      </w:pPr>
      <w:r>
        <w:rPr>
          <w:bdr w:val="single" w:sz="2" w:space="1" w:color="000000"/>
        </w:rPr>
        <w:t xml:space="preserve">  </w:t>
      </w:r>
    </w:p>
    <w:tbl>
      <w:tblPr>
        <w:tblW w:w="7507" w:type="dxa"/>
        <w:jc w:val="left"/>
        <w:tblInd w:w="0" w:type="dxa"/>
        <w:tblLayout w:type="fixed"/>
        <w:tblCellMar>
          <w:top w:w="28" w:type="dxa"/>
          <w:left w:w="28" w:type="dxa"/>
          <w:bottom w:w="28" w:type="dxa"/>
          <w:right w:w="28" w:type="dxa"/>
        </w:tblCellMar>
      </w:tblPr>
      <w:tblGrid>
        <w:gridCol w:w="1246"/>
        <w:gridCol w:w="206"/>
        <w:gridCol w:w="1981"/>
        <w:gridCol w:w="206"/>
        <w:gridCol w:w="1396"/>
        <w:gridCol w:w="206"/>
        <w:gridCol w:w="2266"/>
      </w:tblGrid>
      <w:tr>
        <w:trPr/>
        <w:tc>
          <w:tcPr>
            <w:tcW w:w="12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246" w:type="dxa"/>
            <w:tcBorders/>
            <w:tcMar>
              <w:top w:w="0" w:type="dxa"/>
              <w:left w:w="0" w:type="dxa"/>
              <w:bottom w:w="0" w:type="dxa"/>
              <w:right w:w="0" w:type="dxa"/>
            </w:tcMar>
            <w:vAlign w:val="center"/>
          </w:tcPr>
          <w:p>
            <w:pPr>
              <w:pStyle w:val="TableContents"/>
              <w:bidi w:val="0"/>
              <w:spacing w:before="0" w:after="0"/>
              <w:jc w:val="center"/>
              <w:rPr/>
            </w:pPr>
            <w:r>
              <w:rPr>
                <w:sz w:val="16"/>
              </w:rPr>
              <w:t>Commission file</w:t>
              <w:br/>
              <w:t>number</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1981"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sz w:val="16"/>
              </w:rPr>
              <w:t>Exact name of registrant as</w:t>
              <w:br/>
              <w:t>specified in its charter</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139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sz w:val="16"/>
              </w:rPr>
              <w:t>IRS Employer</w:t>
              <w:br/>
              <w:t>Identification No.</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226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sz w:val="16"/>
              </w:rPr>
              <w:t xml:space="preserve">State or other jurisdiction of </w:t>
              <w:br/>
              <w:t>incorporation or organization</w:t>
            </w:r>
            <w:r>
              <w:rPr/>
              <w:t xml:space="preserve"> </w:t>
            </w:r>
          </w:p>
        </w:tc>
      </w:tr>
      <w:tr>
        <w:trPr/>
        <w:tc>
          <w:tcPr>
            <w:tcW w:w="1246" w:type="dxa"/>
            <w:tcBorders>
              <w:top w:val="single" w:sz="8" w:space="0" w:color="000000"/>
            </w:tcBorders>
            <w:tcMar>
              <w:left w:w="0" w:type="dxa"/>
              <w:bottom w:w="0" w:type="dxa"/>
              <w:right w:w="0" w:type="dxa"/>
            </w:tcMar>
            <w:vAlign w:val="center"/>
          </w:tcPr>
          <w:p>
            <w:pPr>
              <w:pStyle w:val="TableContents"/>
              <w:bidi w:val="0"/>
              <w:spacing w:before="0" w:after="0"/>
              <w:jc w:val="center"/>
              <w:rPr/>
            </w:pPr>
            <w:r>
              <w:rPr>
                <w:b/>
                <w:color w:val="000000"/>
                <w:sz w:val="18"/>
              </w:rPr>
              <w:t>1-03560</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1981" w:type="dxa"/>
            <w:tcBorders>
              <w:top w:val="single" w:sz="8" w:space="0" w:color="000000"/>
            </w:tcBorders>
            <w:tcMar>
              <w:left w:w="0" w:type="dxa"/>
              <w:bottom w:w="0" w:type="dxa"/>
              <w:right w:w="0" w:type="dxa"/>
            </w:tcMar>
            <w:vAlign w:val="center"/>
          </w:tcPr>
          <w:p>
            <w:pPr>
              <w:pStyle w:val="TableContents"/>
              <w:bidi w:val="0"/>
              <w:spacing w:before="0" w:after="0"/>
              <w:jc w:val="center"/>
              <w:rPr/>
            </w:pPr>
            <w:r>
              <w:rPr>
                <w:b/>
                <w:color w:val="000000"/>
                <w:sz w:val="18"/>
              </w:rPr>
              <w:t>Magnera Corporation</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1396" w:type="dxa"/>
            <w:tcBorders>
              <w:top w:val="single" w:sz="8" w:space="0" w:color="000000"/>
            </w:tcBorders>
            <w:tcMar>
              <w:left w:w="0" w:type="dxa"/>
              <w:bottom w:w="0" w:type="dxa"/>
              <w:right w:w="0" w:type="dxa"/>
            </w:tcMar>
            <w:vAlign w:val="center"/>
          </w:tcPr>
          <w:p>
            <w:pPr>
              <w:pStyle w:val="TableContents"/>
              <w:bidi w:val="0"/>
              <w:spacing w:before="0" w:after="0"/>
              <w:jc w:val="center"/>
              <w:rPr/>
            </w:pPr>
            <w:r>
              <w:rPr>
                <w:b/>
                <w:color w:val="000000"/>
                <w:sz w:val="18"/>
              </w:rPr>
              <w:t>23-0628360</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2266" w:type="dxa"/>
            <w:tcBorders>
              <w:top w:val="single" w:sz="8" w:space="0" w:color="000000"/>
            </w:tcBorders>
            <w:tcMar>
              <w:left w:w="0" w:type="dxa"/>
              <w:bottom w:w="0" w:type="dxa"/>
              <w:right w:w="0" w:type="dxa"/>
            </w:tcMar>
            <w:vAlign w:val="center"/>
          </w:tcPr>
          <w:p>
            <w:pPr>
              <w:pStyle w:val="TableContents"/>
              <w:bidi w:val="0"/>
              <w:spacing w:before="0" w:after="0"/>
              <w:jc w:val="center"/>
              <w:rPr/>
            </w:pPr>
            <w:r>
              <w:rPr>
                <w:b/>
                <w:color w:val="000000"/>
                <w:sz w:val="18"/>
              </w:rPr>
              <w:t>Pennsylvania</w:t>
            </w:r>
            <w:r>
              <w:rPr/>
              <w:t xml:space="preserve"> </w:t>
            </w:r>
          </w:p>
        </w:tc>
      </w:tr>
    </w:tbl>
    <w:p>
      <w:pPr>
        <w:pStyle w:val="TextBody"/>
        <w:bidi w:val="0"/>
        <w:spacing w:lineRule="atLeast" w:line="243" w:before="0" w:after="0"/>
        <w:jc w:val="center"/>
        <w:rPr>
          <w:rFonts w:ascii="Times New Roman" w:hAnsi="Times New Roman"/>
          <w:sz w:val="18"/>
          <w:bdr w:val="single" w:sz="2" w:space="1" w:color="000000"/>
        </w:rPr>
      </w:pPr>
      <w:r>
        <w:rPr>
          <w:rFonts w:ascii="Times New Roman" w:hAnsi="Times New Roman"/>
          <w:sz w:val="16"/>
          <w:bdr w:val="single" w:sz="2" w:space="1" w:color="000000"/>
        </w:rPr>
        <w:t>Former name or former address, if changed since last report</w:t>
      </w:r>
      <w:r>
        <w:rPr>
          <w:rFonts w:ascii="Times New Roman" w:hAnsi="Times New Roman"/>
          <w:sz w:val="18"/>
          <w:bdr w:val="single" w:sz="2" w:space="1" w:color="000000"/>
        </w:rPr>
        <w:t xml:space="preserve"> </w:t>
      </w:r>
    </w:p>
    <w:p>
      <w:pPr>
        <w:pStyle w:val="TextBody"/>
        <w:bidi w:val="0"/>
        <w:spacing w:lineRule="atLeast" w:line="243" w:before="0" w:after="0"/>
        <w:jc w:val="center"/>
        <w:rPr>
          <w:rFonts w:ascii="Times New Roman" w:hAnsi="Times New Roman"/>
          <w:sz w:val="18"/>
          <w:bdr w:val="single" w:sz="2" w:space="1" w:color="000000"/>
        </w:rPr>
      </w:pPr>
      <w:r>
        <w:rPr>
          <w:rFonts w:ascii="Times New Roman" w:hAnsi="Times New Roman"/>
          <w:sz w:val="16"/>
          <w:bdr w:val="single" w:sz="2" w:space="1" w:color="000000"/>
        </w:rPr>
        <w:t>Glatfelter Corporation</w:t>
      </w:r>
      <w:r>
        <w:rPr>
          <w:rFonts w:ascii="Times New Roman" w:hAnsi="Times New Roman"/>
          <w:sz w:val="18"/>
          <w:bdr w:val="single" w:sz="2" w:space="1" w:color="000000"/>
        </w:rPr>
        <w:t xml:space="preserve"> </w:t>
      </w:r>
    </w:p>
    <w:p>
      <w:pPr>
        <w:pStyle w:val="TextBody"/>
        <w:bidi w:val="0"/>
        <w:spacing w:lineRule="atLeast" w:line="243" w:before="0" w:after="0"/>
        <w:jc w:val="center"/>
        <w:rPr>
          <w:rFonts w:ascii="Times New Roman" w:hAnsi="Times New Roman"/>
          <w:sz w:val="18"/>
          <w:bdr w:val="single" w:sz="2" w:space="1" w:color="000000"/>
        </w:rPr>
      </w:pPr>
      <w:r>
        <w:rPr>
          <w:rFonts w:ascii="Times New Roman" w:hAnsi="Times New Roman"/>
          <w:color w:val="000000"/>
          <w:sz w:val="16"/>
          <w:bdr w:val="single" w:sz="2" w:space="1" w:color="000000"/>
        </w:rPr>
        <w:t>4350 Congress Street</w:t>
      </w:r>
      <w:r>
        <w:rPr>
          <w:rFonts w:ascii="Times New Roman" w:hAnsi="Times New Roman"/>
          <w:sz w:val="16"/>
          <w:bdr w:val="single" w:sz="2" w:space="1" w:color="000000"/>
        </w:rPr>
        <w:t xml:space="preserve">, </w:t>
      </w:r>
      <w:r>
        <w:rPr>
          <w:rFonts w:ascii="Times New Roman" w:hAnsi="Times New Roman"/>
          <w:color w:val="000000"/>
          <w:sz w:val="16"/>
          <w:bdr w:val="single" w:sz="2" w:space="1" w:color="000000"/>
        </w:rPr>
        <w:t>Suite 600</w:t>
      </w:r>
      <w:r>
        <w:rPr>
          <w:rFonts w:ascii="Times New Roman" w:hAnsi="Times New Roman"/>
          <w:sz w:val="18"/>
          <w:bdr w:val="single" w:sz="2" w:space="1" w:color="000000"/>
        </w:rPr>
        <w:t xml:space="preserve"> </w:t>
      </w:r>
    </w:p>
    <w:p>
      <w:pPr>
        <w:pStyle w:val="TextBody"/>
        <w:bidi w:val="0"/>
        <w:spacing w:lineRule="atLeast" w:line="243" w:before="0" w:after="0"/>
        <w:jc w:val="center"/>
        <w:rPr>
          <w:rFonts w:ascii="Times New Roman" w:hAnsi="Times New Roman"/>
          <w:sz w:val="18"/>
          <w:bdr w:val="single" w:sz="2" w:space="1" w:color="000000"/>
        </w:rPr>
      </w:pPr>
      <w:r>
        <w:rPr>
          <w:rFonts w:ascii="Times New Roman" w:hAnsi="Times New Roman"/>
          <w:color w:val="000000"/>
          <w:sz w:val="16"/>
          <w:bdr w:val="single" w:sz="2" w:space="1" w:color="000000"/>
        </w:rPr>
        <w:t>Charlotte</w:t>
      </w:r>
      <w:r>
        <w:rPr>
          <w:rFonts w:ascii="Times New Roman" w:hAnsi="Times New Roman"/>
          <w:sz w:val="16"/>
          <w:bdr w:val="single" w:sz="2" w:space="1" w:color="000000"/>
        </w:rPr>
        <w:t xml:space="preserve">, </w:t>
      </w:r>
      <w:r>
        <w:rPr>
          <w:rFonts w:ascii="Times New Roman" w:hAnsi="Times New Roman"/>
          <w:color w:val="000000"/>
          <w:sz w:val="16"/>
          <w:bdr w:val="single" w:sz="2" w:space="1" w:color="000000"/>
        </w:rPr>
        <w:t>North Carolina</w:t>
      </w:r>
      <w:r>
        <w:rPr>
          <w:rFonts w:ascii="Times New Roman" w:hAnsi="Times New Roman"/>
          <w:sz w:val="18"/>
          <w:bdr w:val="single" w:sz="2" w:space="1" w:color="000000"/>
        </w:rPr>
        <w:t> </w:t>
      </w:r>
      <w:r>
        <w:rPr>
          <w:rFonts w:ascii="Times New Roman" w:hAnsi="Times New Roman"/>
          <w:color w:val="000000"/>
          <w:sz w:val="16"/>
          <w:bdr w:val="single" w:sz="2" w:space="1" w:color="000000"/>
        </w:rPr>
        <w:t>28209</w:t>
      </w:r>
      <w:r>
        <w:rPr>
          <w:rFonts w:ascii="Times New Roman" w:hAnsi="Times New Roman"/>
          <w:sz w:val="18"/>
          <w:bdr w:val="single" w:sz="2" w:space="1" w:color="000000"/>
        </w:rPr>
        <w:t xml:space="preserve"> </w:t>
      </w:r>
    </w:p>
    <w:p>
      <w:pPr>
        <w:pStyle w:val="TextBody"/>
        <w:bidi w:val="0"/>
        <w:spacing w:lineRule="atLeast" w:line="243" w:before="120" w:after="283"/>
        <w:jc w:val="left"/>
        <w:rPr>
          <w:rFonts w:ascii="Times New Roman" w:hAnsi="Times New Roman"/>
          <w:sz w:val="18"/>
          <w:bdr w:val="single" w:sz="2" w:space="1" w:color="000000"/>
        </w:rPr>
      </w:pPr>
      <w:r>
        <w:rPr>
          <w:rFonts w:ascii="Times New Roman" w:hAnsi="Times New Roman"/>
          <w:sz w:val="18"/>
          <w:bdr w:val="single" w:sz="2" w:space="1" w:color="000000"/>
        </w:rPr>
        <w:t xml:space="preserve">Securities registered pursuant to Section 12(b) of the Act: </w:t>
      </w:r>
    </w:p>
    <w:p>
      <w:pPr>
        <w:pStyle w:val="TextBody"/>
        <w:bidi w:val="0"/>
        <w:spacing w:lineRule="atLeast" w:line="243" w:before="0" w:after="0"/>
        <w:jc w:val="left"/>
        <w:rPr>
          <w:bdr w:val="single" w:sz="2" w:space="1" w:color="000000"/>
        </w:rPr>
      </w:pPr>
      <w:r>
        <w:rPr>
          <w:bdr w:val="single" w:sz="2" w:space="1" w:color="000000"/>
        </w:rPr>
        <w:t xml:space="preserve">  </w:t>
      </w:r>
    </w:p>
    <w:tbl>
      <w:tblPr>
        <w:tblW w:w="8530" w:type="dxa"/>
        <w:jc w:val="left"/>
        <w:tblInd w:w="0" w:type="dxa"/>
        <w:tblLayout w:type="fixed"/>
        <w:tblCellMar>
          <w:top w:w="28" w:type="dxa"/>
          <w:left w:w="28" w:type="dxa"/>
          <w:bottom w:w="28" w:type="dxa"/>
          <w:right w:w="28" w:type="dxa"/>
        </w:tblCellMar>
      </w:tblPr>
      <w:tblGrid>
        <w:gridCol w:w="3346"/>
        <w:gridCol w:w="206"/>
        <w:gridCol w:w="1486"/>
        <w:gridCol w:w="206"/>
        <w:gridCol w:w="3286"/>
      </w:tblGrid>
      <w:tr>
        <w:trPr/>
        <w:tc>
          <w:tcPr>
            <w:tcW w:w="334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3286" w:type="dxa"/>
            <w:tcBorders/>
            <w:vAlign w:val="center"/>
          </w:tcPr>
          <w:p>
            <w:pPr>
              <w:pStyle w:val="TableContents"/>
              <w:bidi w:val="0"/>
              <w:spacing w:before="0" w:after="283"/>
              <w:jc w:val="left"/>
              <w:rPr/>
            </w:pPr>
            <w:r>
              <w:rPr/>
              <w:t> </w:t>
            </w:r>
          </w:p>
        </w:tc>
      </w:tr>
      <w:tr>
        <w:trPr/>
        <w:tc>
          <w:tcPr>
            <w:tcW w:w="334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sz w:val="16"/>
              </w:rPr>
              <w:t>Title of each class</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48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sz w:val="16"/>
              </w:rPr>
              <w:t>Trading Symbol(s)</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28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sz w:val="16"/>
              </w:rPr>
              <w:t>Name of each exchange on which registered</w:t>
            </w:r>
            <w:r>
              <w:rPr/>
              <w:t xml:space="preserve"> </w:t>
            </w:r>
          </w:p>
        </w:tc>
      </w:tr>
      <w:tr>
        <w:trPr/>
        <w:tc>
          <w:tcPr>
            <w:tcW w:w="3346" w:type="dxa"/>
            <w:tcBorders>
              <w:top w:val="single" w:sz="8" w:space="0" w:color="000000"/>
            </w:tcBorders>
            <w:tcMar>
              <w:left w:w="0" w:type="dxa"/>
              <w:bottom w:w="0" w:type="dxa"/>
              <w:right w:w="0" w:type="dxa"/>
            </w:tcMar>
            <w:vAlign w:val="center"/>
          </w:tcPr>
          <w:p>
            <w:pPr>
              <w:pStyle w:val="TableContents"/>
              <w:bidi w:val="0"/>
              <w:spacing w:before="0" w:after="0"/>
              <w:jc w:val="center"/>
              <w:rPr>
                <w:b/>
                <w:color w:val="000000"/>
                <w:sz w:val="18"/>
              </w:rPr>
            </w:pPr>
            <w:r>
              <w:rPr>
                <w:b/>
                <w:color w:val="000000"/>
                <w:sz w:val="18"/>
              </w:rPr>
              <w:t>Common Stock, $0.01 par value per share</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486" w:type="dxa"/>
            <w:tcBorders>
              <w:top w:val="single" w:sz="8" w:space="0" w:color="000000"/>
            </w:tcBorders>
            <w:tcMar>
              <w:left w:w="0" w:type="dxa"/>
              <w:bottom w:w="0" w:type="dxa"/>
              <w:right w:w="0" w:type="dxa"/>
            </w:tcMar>
            <w:vAlign w:val="center"/>
          </w:tcPr>
          <w:p>
            <w:pPr>
              <w:pStyle w:val="TableContents"/>
              <w:bidi w:val="0"/>
              <w:spacing w:before="0" w:after="0"/>
              <w:jc w:val="center"/>
              <w:rPr/>
            </w:pPr>
            <w:r>
              <w:rPr>
                <w:b/>
                <w:color w:val="000000"/>
                <w:sz w:val="18"/>
              </w:rPr>
              <w:t>MAGN</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286" w:type="dxa"/>
            <w:tcBorders>
              <w:top w:val="single" w:sz="8" w:space="0" w:color="000000"/>
            </w:tcBorders>
            <w:tcMar>
              <w:left w:w="0" w:type="dxa"/>
              <w:bottom w:w="0" w:type="dxa"/>
              <w:right w:w="0" w:type="dxa"/>
            </w:tcMar>
            <w:vAlign w:val="center"/>
          </w:tcPr>
          <w:p>
            <w:pPr>
              <w:pStyle w:val="TableContents"/>
              <w:bidi w:val="0"/>
              <w:spacing w:before="0" w:after="0"/>
              <w:jc w:val="center"/>
              <w:rPr/>
            </w:pPr>
            <w:r>
              <w:rPr>
                <w:b/>
                <w:color w:val="000000"/>
                <w:sz w:val="18"/>
              </w:rPr>
              <w:t>New York Stock Exchange</w:t>
            </w:r>
            <w:r>
              <w:rPr/>
              <w:t xml:space="preserve"> </w:t>
            </w:r>
          </w:p>
        </w:tc>
      </w:tr>
    </w:tbl>
    <w:p>
      <w:pPr>
        <w:pStyle w:val="TextBody"/>
        <w:bidi w:val="0"/>
        <w:spacing w:lineRule="atLeast" w:line="189" w:before="0" w:after="20"/>
        <w:jc w:val="center"/>
        <w:rPr>
          <w:bdr w:val="single" w:sz="2" w:space="1" w:color="000000"/>
        </w:rPr>
      </w:pPr>
      <w:r>
        <w:rPr>
          <w:bdr w:val="single" w:sz="2" w:space="1" w:color="000000"/>
        </w:rPr>
        <w:t xml:space="preserve">  </w:t>
      </w:r>
    </w:p>
    <w:p>
      <w:pPr>
        <w:pStyle w:val="TextBody"/>
        <w:bidi w:val="0"/>
        <w:spacing w:before="0" w:after="120"/>
        <w:jc w:val="left"/>
        <w:rPr>
          <w:rFonts w:ascii="Times New Roman" w:hAnsi="Times New Roman"/>
          <w:sz w:val="18"/>
          <w:bdr w:val="single" w:sz="2" w:space="1" w:color="000000"/>
        </w:rPr>
      </w:pPr>
      <w:r>
        <w:rPr>
          <w:rFonts w:ascii="Times New Roman" w:hAnsi="Times New Roman"/>
          <w:sz w:val="18"/>
          <w:bdr w:val="single" w:sz="2" w:space="1" w:color="000000"/>
        </w:rPr>
        <w:t>Indicate by check mark if the registrant is a well-known seasoned issuer, as defined in Rule 405 of the Securities Act.     ☒ </w:t>
      </w:r>
      <w:r>
        <w:rPr>
          <w:rFonts w:ascii="Times New Roman" w:hAnsi="Times New Roman"/>
          <w:color w:val="000000"/>
          <w:sz w:val="18"/>
          <w:bdr w:val="single" w:sz="2" w:space="1" w:color="000000"/>
        </w:rPr>
        <w:t>Yes</w:t>
      </w:r>
      <w:r>
        <w:rPr>
          <w:rFonts w:ascii="Times New Roman" w:hAnsi="Times New Roman"/>
          <w:sz w:val="18"/>
          <w:bdr w:val="single" w:sz="2" w:space="1" w:color="000000"/>
        </w:rPr>
        <w:t xml:space="preserve">   ☐ No </w:t>
      </w:r>
    </w:p>
    <w:p>
      <w:pPr>
        <w:pStyle w:val="TextBody"/>
        <w:bidi w:val="0"/>
        <w:spacing w:before="0" w:after="120"/>
        <w:jc w:val="left"/>
        <w:rPr>
          <w:rFonts w:ascii="Times New Roman" w:hAnsi="Times New Roman"/>
          <w:sz w:val="18"/>
          <w:bdr w:val="single" w:sz="2" w:space="1" w:color="000000"/>
        </w:rPr>
      </w:pPr>
      <w:r>
        <w:rPr>
          <w:rFonts w:ascii="Times New Roman" w:hAnsi="Times New Roman"/>
          <w:sz w:val="18"/>
          <w:bdr w:val="single" w:sz="2" w:space="1" w:color="000000"/>
        </w:rPr>
        <w:t xml:space="preserve">Indicate by check mark if the registrant is not required to file reports pursuant to Section 13 or Section 15(d) of the Act.  ☐ Yes   ☒ No </w:t>
      </w:r>
    </w:p>
    <w:p>
      <w:pPr>
        <w:pStyle w:val="TextBody"/>
        <w:bidi w:val="0"/>
        <w:spacing w:before="0" w:after="120"/>
        <w:jc w:val="left"/>
        <w:rPr>
          <w:rFonts w:ascii="Times New Roman" w:hAnsi="Times New Roman"/>
          <w:sz w:val="18"/>
          <w:bdr w:val="single" w:sz="2" w:space="1" w:color="000000"/>
        </w:rPr>
      </w:pPr>
      <w:r>
        <w:rPr>
          <w:rFonts w:ascii="Times New Roman" w:hAnsi="Times New Roman"/>
          <w:sz w:val="18"/>
          <w:bdr w:val="single" w:sz="2" w:space="1" w:color="00000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r>
        <w:rPr>
          <w:rFonts w:ascii="Times New Roman" w:hAnsi="Times New Roman"/>
          <w:color w:val="000000"/>
          <w:sz w:val="18"/>
          <w:bdr w:val="single" w:sz="2" w:space="1" w:color="000000"/>
        </w:rPr>
        <w:t>Yes</w:t>
      </w:r>
      <w:r>
        <w:rPr>
          <w:rFonts w:ascii="Times New Roman" w:hAnsi="Times New Roman"/>
          <w:sz w:val="18"/>
          <w:bdr w:val="single" w:sz="2" w:space="1" w:color="000000"/>
        </w:rPr>
        <w:t xml:space="preserve">   ☐ No </w:t>
      </w:r>
    </w:p>
    <w:p>
      <w:pPr>
        <w:pStyle w:val="TextBody"/>
        <w:bidi w:val="0"/>
        <w:spacing w:before="0" w:after="120"/>
        <w:jc w:val="left"/>
        <w:rPr>
          <w:rFonts w:ascii="Times New Roman" w:hAnsi="Times New Roman"/>
          <w:sz w:val="18"/>
          <w:bdr w:val="single" w:sz="2" w:space="1" w:color="000000"/>
        </w:rPr>
      </w:pPr>
      <w:r>
        <w:rPr>
          <w:rFonts w:ascii="Times New Roman" w:hAnsi="Times New Roman"/>
          <w:sz w:val="18"/>
          <w:bdr w:val="single" w:sz="2" w:space="1" w:color="000000"/>
        </w:rPr>
        <w:t xml:space="preserve">Indicate by check mark whether the registrant has submitted electronically every Interactive Data File required to be submitted and posted pursuant to Rule 405 of Regulations S-T (§ 232.405 of this chapter) during the preceding 12 months (or for such shorter period that the registrant was required to submit such files.)  ☒ Yes   ☐ No </w:t>
      </w:r>
    </w:p>
    <w:p>
      <w:pPr>
        <w:pStyle w:val="TextBody"/>
        <w:bidi w:val="0"/>
        <w:spacing w:before="0" w:after="60"/>
        <w:jc w:val="left"/>
        <w:rPr>
          <w:rFonts w:ascii="Times New Roman" w:hAnsi="Times New Roman"/>
          <w:sz w:val="18"/>
          <w:bdr w:val="single" w:sz="2" w:space="1" w:color="000000"/>
        </w:rPr>
      </w:pPr>
      <w:r>
        <w:rPr>
          <w:rFonts w:ascii="Times New Roman" w:hAnsi="Times New Roman"/>
          <w:sz w:val="18"/>
          <w:bdr w:val="single" w:sz="2" w:space="1" w:color="00000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tbl>
      <w:tblPr>
        <w:tblW w:w="10160" w:type="dxa"/>
        <w:jc w:val="left"/>
        <w:tblInd w:w="0" w:type="dxa"/>
        <w:tblLayout w:type="fixed"/>
        <w:tblCellMar>
          <w:top w:w="28" w:type="dxa"/>
          <w:left w:w="28" w:type="dxa"/>
          <w:bottom w:w="28" w:type="dxa"/>
          <w:right w:w="28" w:type="dxa"/>
        </w:tblCellMar>
      </w:tblPr>
      <w:tblGrid>
        <w:gridCol w:w="2086"/>
        <w:gridCol w:w="1576"/>
        <w:gridCol w:w="1891"/>
        <w:gridCol w:w="2206"/>
        <w:gridCol w:w="2401"/>
      </w:tblGrid>
      <w:tr>
        <w:trPr/>
        <w:tc>
          <w:tcPr>
            <w:tcW w:w="2086" w:type="dxa"/>
            <w:tcBorders/>
            <w:vAlign w:val="center"/>
          </w:tcPr>
          <w:p>
            <w:pPr>
              <w:pStyle w:val="TableContents"/>
              <w:bidi w:val="0"/>
              <w:spacing w:before="0" w:after="0"/>
              <w:ind w:left="98" w:right="0" w:hanging="0"/>
              <w:jc w:val="center"/>
              <w:rPr/>
            </w:pPr>
            <w:r>
              <w:rPr>
                <w:sz w:val="18"/>
              </w:rPr>
              <w:t xml:space="preserve">Large Accelerated Filer </w:t>
            </w:r>
            <w:r>
              <w:rPr/>
              <w:t xml:space="preserve">☐ </w:t>
            </w:r>
          </w:p>
        </w:tc>
        <w:tc>
          <w:tcPr>
            <w:tcW w:w="1576" w:type="dxa"/>
            <w:tcBorders/>
            <w:vAlign w:val="center"/>
          </w:tcPr>
          <w:p>
            <w:pPr>
              <w:pStyle w:val="TableContents"/>
              <w:bidi w:val="0"/>
              <w:spacing w:before="0" w:after="0"/>
              <w:jc w:val="center"/>
              <w:rPr/>
            </w:pPr>
            <w:r>
              <w:rPr>
                <w:sz w:val="18"/>
              </w:rPr>
              <w:t xml:space="preserve">Accelerated filer </w:t>
            </w:r>
            <w:r>
              <w:rPr/>
              <w:t xml:space="preserve">☒ </w:t>
            </w:r>
          </w:p>
        </w:tc>
        <w:tc>
          <w:tcPr>
            <w:tcW w:w="1891" w:type="dxa"/>
            <w:tcBorders/>
            <w:vAlign w:val="center"/>
          </w:tcPr>
          <w:p>
            <w:pPr>
              <w:pStyle w:val="TableContents"/>
              <w:bidi w:val="0"/>
              <w:spacing w:before="0" w:after="0"/>
              <w:jc w:val="center"/>
              <w:rPr/>
            </w:pPr>
            <w:r>
              <w:rPr>
                <w:sz w:val="18"/>
              </w:rPr>
              <w:t xml:space="preserve">Non-accelerated filer </w:t>
            </w:r>
            <w:r>
              <w:rPr/>
              <w:t xml:space="preserve">☐ </w:t>
            </w:r>
          </w:p>
        </w:tc>
        <w:tc>
          <w:tcPr>
            <w:tcW w:w="2206" w:type="dxa"/>
            <w:tcBorders/>
            <w:vAlign w:val="center"/>
          </w:tcPr>
          <w:p>
            <w:pPr>
              <w:pStyle w:val="TableContents"/>
              <w:bidi w:val="0"/>
              <w:spacing w:before="0" w:after="0"/>
              <w:jc w:val="center"/>
              <w:rPr/>
            </w:pPr>
            <w:r>
              <w:rPr>
                <w:sz w:val="18"/>
              </w:rPr>
              <w:t xml:space="preserve">Small reporting company </w:t>
            </w:r>
            <w:r>
              <w:rPr/>
              <w:t xml:space="preserve">☐ </w:t>
            </w:r>
          </w:p>
        </w:tc>
        <w:tc>
          <w:tcPr>
            <w:tcW w:w="2401" w:type="dxa"/>
            <w:tcBorders/>
            <w:vAlign w:val="center"/>
          </w:tcPr>
          <w:p>
            <w:pPr>
              <w:pStyle w:val="TableContents"/>
              <w:bidi w:val="0"/>
              <w:spacing w:before="0" w:after="0"/>
              <w:jc w:val="center"/>
              <w:rPr/>
            </w:pPr>
            <w:r>
              <w:rPr>
                <w:sz w:val="18"/>
              </w:rPr>
              <w:t xml:space="preserve">Emerging growth company </w:t>
            </w:r>
            <w:r>
              <w:rPr/>
              <w:t xml:space="preserve">☐ </w:t>
            </w:r>
          </w:p>
        </w:tc>
      </w:tr>
    </w:tbl>
    <w:p>
      <w:pPr>
        <w:pStyle w:val="TextBody"/>
        <w:bidi w:val="0"/>
        <w:spacing w:before="0" w:after="0"/>
        <w:ind w:left="0" w:right="543" w:hanging="0"/>
        <w:jc w:val="both"/>
        <w:rPr>
          <w:bdr w:val="single" w:sz="2" w:space="1" w:color="000000"/>
        </w:rPr>
      </w:pPr>
      <w:r>
        <w:rPr>
          <w:bdr w:val="single" w:sz="2" w:space="1" w:color="000000"/>
        </w:rPr>
        <w:t xml:space="preserve">  </w:t>
      </w:r>
    </w:p>
    <w:p>
      <w:pPr>
        <w:pStyle w:val="TextBody"/>
        <w:bidi w:val="0"/>
        <w:spacing w:before="0" w:after="120"/>
        <w:jc w:val="left"/>
        <w:rPr>
          <w:rFonts w:ascii="Times New Roman" w:hAnsi="Times New Roman"/>
          <w:sz w:val="18"/>
          <w:bdr w:val="single" w:sz="2" w:space="1" w:color="000000"/>
        </w:rPr>
      </w:pPr>
      <w:r>
        <w:rPr>
          <w:rFonts w:ascii="Times New Roman" w:hAnsi="Times New Roman"/>
          <w:sz w:val="18"/>
          <w:bdr w:val="single" w:sz="2" w:space="1" w:color="00000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120"/>
        <w:jc w:val="left"/>
        <w:rPr>
          <w:rFonts w:ascii="Times New Roman" w:hAnsi="Times New Roman"/>
          <w:sz w:val="18"/>
          <w:bdr w:val="single" w:sz="2" w:space="1" w:color="000000"/>
        </w:rPr>
      </w:pPr>
      <w:r>
        <w:rPr>
          <w:rFonts w:ascii="Times New Roman" w:hAnsi="Times New Roman"/>
          <w:sz w:val="18"/>
          <w:bdr w:val="single" w:sz="2" w:space="1" w:color="000000"/>
        </w:rPr>
        <w:t xml:space="preserve">Indicate by check mark whether the registrant had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0" w:after="120"/>
        <w:jc w:val="left"/>
        <w:rPr>
          <w:rFonts w:ascii="Times New Roman" w:hAnsi="Times New Roman"/>
          <w:sz w:val="18"/>
          <w:bdr w:val="single" w:sz="2" w:space="1" w:color="000000"/>
        </w:rPr>
      </w:pPr>
      <w:r>
        <w:rPr>
          <w:rFonts w:ascii="Times New Roman" w:hAnsi="Times New Roman"/>
          <w:color w:val="000000"/>
          <w:sz w:val="18"/>
          <w:bdr w:val="single" w:sz="2" w:space="1" w:color="000000"/>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sz w:val="18"/>
          <w:bdr w:val="single" w:sz="2" w:space="1" w:color="000000"/>
        </w:rPr>
        <w:t xml:space="preserve"> </w:t>
      </w:r>
      <w:r>
        <w:rPr>
          <w:rFonts w:ascii="Times New Roman" w:hAnsi="Times New Roman"/>
          <w:color w:val="000000"/>
          <w:sz w:val="18"/>
          <w:bdr w:val="single" w:sz="2" w:space="1" w:color="000000"/>
        </w:rPr>
        <w:t>☐</w:t>
      </w:r>
      <w:r>
        <w:rPr>
          <w:rFonts w:ascii="Times New Roman" w:hAnsi="Times New Roman"/>
          <w:sz w:val="18"/>
          <w:bdr w:val="single" w:sz="2" w:space="1" w:color="000000"/>
        </w:rPr>
        <w:t xml:space="preserve"> </w:t>
      </w:r>
    </w:p>
    <w:p>
      <w:pPr>
        <w:pStyle w:val="TextBody"/>
        <w:bidi w:val="0"/>
        <w:spacing w:before="0" w:after="120"/>
        <w:jc w:val="left"/>
        <w:rPr>
          <w:rFonts w:ascii="Times New Roman" w:hAnsi="Times New Roman"/>
          <w:sz w:val="18"/>
          <w:bdr w:val="single" w:sz="2" w:space="1" w:color="000000"/>
        </w:rPr>
      </w:pPr>
      <w:r>
        <w:rPr>
          <w:rFonts w:ascii="Times New Roman" w:hAnsi="Times New Roman"/>
          <w:color w:val="000000"/>
          <w:sz w:val="18"/>
          <w:bdr w:val="single" w:sz="2" w:space="1" w:color="000000"/>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sz w:val="18"/>
          <w:bdr w:val="single" w:sz="2" w:space="1" w:color="000000"/>
        </w:rPr>
        <w:t xml:space="preserve"> </w:t>
      </w:r>
    </w:p>
    <w:p>
      <w:pPr>
        <w:pStyle w:val="TextBody"/>
        <w:bidi w:val="0"/>
        <w:spacing w:before="0" w:after="120"/>
        <w:jc w:val="left"/>
        <w:rPr>
          <w:rFonts w:ascii="Times New Roman" w:hAnsi="Times New Roman"/>
          <w:sz w:val="18"/>
          <w:bdr w:val="single" w:sz="2" w:space="1" w:color="000000"/>
        </w:rPr>
      </w:pPr>
      <w:r>
        <w:rPr>
          <w:rFonts w:ascii="Times New Roman" w:hAnsi="Times New Roman"/>
          <w:sz w:val="18"/>
          <w:bdr w:val="single" w:sz="2" w:space="1" w:color="000000"/>
        </w:rPr>
        <w:t xml:space="preserve">Indicate by check mark whether the registrant is a shell company (as defined in Rule 12b-2 of the Act).   ☐ Yes   ☒ No </w:t>
      </w:r>
    </w:p>
    <w:p>
      <w:pPr>
        <w:pStyle w:val="TextBody"/>
        <w:bidi w:val="0"/>
        <w:spacing w:before="0" w:after="60"/>
        <w:jc w:val="left"/>
        <w:rPr>
          <w:rFonts w:ascii="Times New Roman" w:hAnsi="Times New Roman"/>
          <w:sz w:val="18"/>
          <w:bdr w:val="single" w:sz="2" w:space="1" w:color="000000"/>
          <w:shd w:fill="FFFFFF" w:val="clear"/>
        </w:rPr>
      </w:pPr>
      <w:r>
        <w:rPr>
          <w:rFonts w:ascii="Times New Roman" w:hAnsi="Times New Roman"/>
          <w:sz w:val="18"/>
          <w:bdr w:val="single" w:sz="2" w:space="1" w:color="000000"/>
          <w:shd w:fill="FFFFFF" w:val="clear"/>
        </w:rPr>
        <w:t xml:space="preserve">The aggregate market value of the common stock of the registrant held by non-affiliates was approximately $650.8 million as of March 28, 2025, the last business day of the registrant’s most recently completed second fiscal quarter. The aggregate market value was computed using the closing sale price as reported on the New York Stock Exchange. As of November 25, 2025, there were 35.6 million shares of common stock outstanding. </w:t>
      </w:r>
    </w:p>
    <w:p>
      <w:pPr>
        <w:pStyle w:val="TextBody"/>
        <w:bidi w:val="0"/>
        <w:spacing w:before="0" w:after="60"/>
        <w:jc w:val="left"/>
        <w:rPr>
          <w:bdr w:val="single" w:sz="2" w:space="1" w:color="000000"/>
        </w:rPr>
      </w:pPr>
      <w:r>
        <w:rPr>
          <w:bdr w:val="single" w:sz="2" w:space="1" w:color="000000"/>
        </w:rPr>
        <w:t xml:space="preserve">  </w:t>
      </w:r>
    </w:p>
    <w:p>
      <w:pPr>
        <w:pStyle w:val="TextBody"/>
        <w:bidi w:val="0"/>
        <w:spacing w:before="0" w:after="0"/>
        <w:jc w:val="center"/>
        <w:rPr>
          <w:rFonts w:ascii="Times New Roman" w:hAnsi="Times New Roman"/>
          <w:sz w:val="18"/>
          <w:bdr w:val="single" w:sz="2" w:space="1" w:color="000000"/>
        </w:rPr>
      </w:pPr>
      <w:r>
        <w:rPr>
          <w:rFonts w:ascii="Times New Roman" w:hAnsi="Times New Roman"/>
          <w:sz w:val="18"/>
          <w:bdr w:val="single" w:sz="2" w:space="1" w:color="000000"/>
        </w:rPr>
        <w:t xml:space="preserve">DOCUMENTS INCORPORATED BY REFERENCE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Portions of Magnera Corporation’s Proxy Statement for its 2025 Annual Meeting of Stockholders are incorporated by reference into Part III of this report. </w:t>
      </w:r>
    </w:p>
    <w:p>
      <w:pPr>
        <w:pStyle w:val="TextBody"/>
        <w:bidi w:val="0"/>
        <w:spacing w:before="0" w:after="0"/>
        <w:jc w:val="left"/>
        <w:rPr>
          <w:bdr w:val="single" w:sz="2" w:space="1" w:color="000000"/>
        </w:rPr>
      </w:pPr>
      <w:r>
        <w:rPr>
          <w:bdr w:val="single" w:sz="2" w:space="1" w:color="000000"/>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double" w:sz="6" w:space="0" w:color="000000"/>
            </w:tcBorders>
            <w:vAlign w:val="center"/>
          </w:tcPr>
          <w:p>
            <w:pPr>
              <w:pStyle w:val="TableContents"/>
              <w:bidi w:val="0"/>
              <w:spacing w:before="0" w:after="0"/>
              <w:jc w:val="left"/>
              <w:rPr/>
            </w:pPr>
            <w:r>
              <w:rPr/>
              <w:t xml:space="preserve">  </w:t>
            </w:r>
          </w:p>
        </w:tc>
      </w:tr>
    </w:tbl>
    <w:p>
      <w:pPr>
        <w:pStyle w:val="TextBody"/>
        <w:bidi w:val="0"/>
        <w:spacing w:lineRule="atLeast" w:line="142" w:before="0" w:after="20"/>
        <w:jc w:val="left"/>
        <w:rPr>
          <w:bdr w:val="single" w:sz="2" w:space="1" w:color="000000"/>
        </w:rPr>
      </w:pPr>
      <w:r>
        <w:rPr>
          <w:bdr w:val="single" w:sz="2" w:space="1" w:color="000000"/>
        </w:rPr>
        <w:t xml:space="preserve">  </w:t>
      </w:r>
    </w:p>
    <w:p>
      <w:pPr>
        <w:pStyle w:val="TextBody"/>
        <w:bidi w:val="0"/>
        <w:spacing w:lineRule="atLeast" w:line="142" w:before="0" w:after="20"/>
        <w:jc w:val="left"/>
        <w:rPr>
          <w:bdr w:val="single" w:sz="2" w:space="1" w:color="000000"/>
        </w:rPr>
      </w:pPr>
      <w:r>
        <w:rPr>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lineRule="atLeast" w:line="236" w:before="0" w:after="0"/>
        <w:ind w:left="0" w:right="0" w:firstLine="407"/>
        <w:jc w:val="center"/>
        <w:rPr>
          <w:rFonts w:ascii="Times New Roman" w:hAnsi="Times New Roman"/>
          <w:sz w:val="18"/>
          <w:bdr w:val="single" w:sz="2" w:space="1" w:color="000000"/>
        </w:rPr>
      </w:pPr>
      <w:r>
        <w:rPr>
          <w:rFonts w:ascii="Times New Roman" w:hAnsi="Times New Roman"/>
          <w:sz w:val="18"/>
          <w:bdr w:val="single" w:sz="2" w:space="1" w:color="000000"/>
        </w:rPr>
        <w:t xml:space="preserve">CAUTIONARY STATEMENT CONCERNING FORWARD-LOOKING STATEMENTS </w:t>
      </w:r>
    </w:p>
    <w:p>
      <w:pPr>
        <w:pStyle w:val="TextBody"/>
        <w:bidi w:val="0"/>
        <w:spacing w:lineRule="atLeast" w:line="270" w:before="0" w:after="0"/>
        <w:jc w:val="left"/>
        <w:rPr>
          <w:bdr w:val="single" w:sz="2" w:space="1" w:color="000000"/>
        </w:rPr>
      </w:pPr>
      <w:r>
        <w:rPr>
          <w:bdr w:val="single" w:sz="2" w:space="1" w:color="000000"/>
        </w:rPr>
        <w:t xml:space="preserve">  </w:t>
      </w:r>
    </w:p>
    <w:p>
      <w:pPr>
        <w:pStyle w:val="TextBody"/>
        <w:bidi w:val="0"/>
        <w:spacing w:lineRule="atLeast" w:line="225"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Information included or incorporated by reference in Magnera Corporation’s filings with the U.S. Securities and Exchange Commission (the “SEC”) and press releases or other public statements contains or may contain “forward-looking” statements within the meaning of the federal securities laws and are presented pursuant to the safe harbor provisions of the Private Securities Litigation Reform Act of 1995.  Such “forward-looking” statements include, but are not limited to, statements with respect to our financial condition, results of operations and business, our expectations or beliefs concerning future events, including future financial and operating results, objectives, expectations and intentions, and other statements that are not historical facts.  These statements contain words such as “believes,” “expects,” “may,” “will,” “should,” “would,” “could,” “seeks,” “approximately,” “intends,” “plans,” “estimates,” “projects,” “outlook,” “anticipates” or “looking forward” or similar expressions that relate to our strategy, plans, intentions, or expectations.  All statements we make relating to our estimated and projected earnings, margins, costs, expenditures, cash flows, growth rates, and financial results or to our expectations regarding future industry trends are forward-looking statements.  In addition, we, through our senior management, from time to time make forward-looking public statements concerning our expected future operations and performance and other developments.  These forward-looking statements are based upon the current beliefs and expectations of the management and are subject to risks and uncertainties that may change at any time, and, therefore, our actual results may differ materially from those that we expected.   </w:t>
      </w:r>
    </w:p>
    <w:p>
      <w:pPr>
        <w:pStyle w:val="TextBody"/>
        <w:bidi w:val="0"/>
        <w:spacing w:lineRule="atLeast" w:line="250" w:before="0" w:after="0"/>
        <w:jc w:val="left"/>
        <w:rPr>
          <w:bdr w:val="single" w:sz="2" w:space="1" w:color="000000"/>
        </w:rPr>
      </w:pPr>
      <w:r>
        <w:rPr>
          <w:bdr w:val="single" w:sz="2" w:space="1" w:color="000000"/>
        </w:rPr>
        <w:t xml:space="preserve">  </w:t>
      </w:r>
    </w:p>
    <w:p>
      <w:pPr>
        <w:pStyle w:val="TextBody"/>
        <w:bidi w:val="0"/>
        <w:spacing w:lineRule="atLeast" w:line="225"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Additionally, we caution readers that the list of important factors discussed in the section titled “Risk Factors” may not contain all of the material factors that are important to you.  All forward-looking statements are made only as of the date hereof, and we undertake no obligation to publicly update or revise any forward-looking statement as a result of new information, future events or otherwise, except as otherwise required by law.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center"/>
        <w:rPr>
          <w:rFonts w:ascii="Times New Roman" w:hAnsi="Times New Roman"/>
          <w:sz w:val="18"/>
          <w:bdr w:val="single" w:sz="2" w:space="1" w:color="000000"/>
        </w:rPr>
      </w:pPr>
      <w:r>
        <w:rPr>
          <w:rFonts w:ascii="Times New Roman" w:hAnsi="Times New Roman"/>
          <w:b/>
          <w:sz w:val="20"/>
          <w:bdr w:val="single" w:sz="2" w:space="1" w:color="000000"/>
        </w:rPr>
        <w:t>FORM 10-K FOR THE FISCAL YEAR ENDED SEPTEMBER 2</w:t>
      </w:r>
      <w:r>
        <w:rPr>
          <w:rFonts w:ascii="Times New Roman" w:hAnsi="Times New Roman"/>
          <w:b/>
          <w:sz w:val="18"/>
          <w:bdr w:val="single" w:sz="2" w:space="1" w:color="000000"/>
        </w:rPr>
        <w:t>7</w:t>
      </w:r>
      <w:r>
        <w:rPr>
          <w:rFonts w:ascii="Times New Roman" w:hAnsi="Times New Roman"/>
          <w:b/>
          <w:sz w:val="20"/>
          <w:bdr w:val="single" w:sz="2" w:space="1" w:color="000000"/>
        </w:rPr>
        <w:t>, 202</w:t>
      </w:r>
      <w:r>
        <w:rPr>
          <w:rFonts w:ascii="Times New Roman" w:hAnsi="Times New Roman"/>
          <w:b/>
          <w:sz w:val="18"/>
          <w:bdr w:val="single" w:sz="2" w:space="1" w:color="000000"/>
        </w:rPr>
        <w:t>5</w:t>
      </w:r>
      <w:r>
        <w:rPr>
          <w:rFonts w:ascii="Times New Roman" w:hAnsi="Times New Roman"/>
          <w:sz w:val="18"/>
          <w:bdr w:val="single" w:sz="2" w:space="1" w:color="000000"/>
        </w:rPr>
        <w:t xml:space="preserve"> </w:t>
      </w:r>
    </w:p>
    <w:p>
      <w:pPr>
        <w:pStyle w:val="TextBody"/>
        <w:bidi w:val="0"/>
        <w:spacing w:lineRule="atLeast" w:line="270" w:before="120" w:after="283"/>
        <w:jc w:val="center"/>
        <w:rPr>
          <w:bdr w:val="single" w:sz="2" w:space="1" w:color="000000"/>
        </w:rPr>
      </w:pPr>
      <w:r>
        <w:rPr>
          <w:bdr w:val="single" w:sz="2" w:space="1" w:color="000000"/>
        </w:rPr>
        <w:t xml:space="preserve">  </w:t>
      </w:r>
    </w:p>
    <w:tbl>
      <w:tblPr>
        <w:tblW w:w="10205" w:type="dxa"/>
        <w:jc w:val="left"/>
        <w:tblInd w:w="0" w:type="dxa"/>
        <w:tblLayout w:type="fixed"/>
        <w:tblCellMar>
          <w:top w:w="28" w:type="dxa"/>
          <w:left w:w="28" w:type="dxa"/>
          <w:bottom w:w="28" w:type="dxa"/>
          <w:right w:w="28" w:type="dxa"/>
        </w:tblCellMar>
      </w:tblPr>
      <w:tblGrid>
        <w:gridCol w:w="801"/>
        <w:gridCol w:w="8731"/>
        <w:gridCol w:w="673"/>
      </w:tblGrid>
      <w:tr>
        <w:trPr/>
        <w:tc>
          <w:tcPr>
            <w:tcW w:w="801" w:type="dxa"/>
            <w:tcBorders/>
            <w:vAlign w:val="center"/>
          </w:tcPr>
          <w:p>
            <w:pPr>
              <w:pStyle w:val="TableContents"/>
              <w:bidi w:val="0"/>
              <w:spacing w:before="0" w:after="283"/>
              <w:jc w:val="left"/>
              <w:rPr/>
            </w:pPr>
            <w:r>
              <w:rPr/>
              <w:t> </w:t>
            </w:r>
          </w:p>
        </w:tc>
        <w:tc>
          <w:tcPr>
            <w:tcW w:w="8731" w:type="dxa"/>
            <w:tcBorders/>
            <w:vAlign w:val="center"/>
          </w:tcPr>
          <w:p>
            <w:pPr>
              <w:pStyle w:val="TableContents"/>
              <w:bidi w:val="0"/>
              <w:spacing w:before="0" w:after="283"/>
              <w:jc w:val="left"/>
              <w:rPr/>
            </w:pPr>
            <w:r>
              <w:rPr/>
              <w:t> </w:t>
            </w:r>
          </w:p>
        </w:tc>
        <w:tc>
          <w:tcPr>
            <w:tcW w:w="67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b/>
              </w:rPr>
              <w:t>Page</w:t>
            </w:r>
            <w:r>
              <w:rPr/>
              <w:t xml:space="preserve"> </w:t>
            </w:r>
          </w:p>
        </w:tc>
      </w:tr>
      <w:tr>
        <w:trPr/>
        <w:tc>
          <w:tcPr>
            <w:tcW w:w="801" w:type="dxa"/>
            <w:tcBorders/>
            <w:vAlign w:val="center"/>
          </w:tcPr>
          <w:p>
            <w:pPr>
              <w:pStyle w:val="TableContents"/>
              <w:bidi w:val="0"/>
              <w:spacing w:before="0" w:after="283"/>
              <w:jc w:val="left"/>
              <w:rPr/>
            </w:pPr>
            <w:r>
              <w:rPr/>
              <w:t> </w:t>
            </w:r>
          </w:p>
        </w:tc>
        <w:tc>
          <w:tcPr>
            <w:tcW w:w="8731" w:type="dxa"/>
            <w:tcBorders/>
            <w:tcMar>
              <w:top w:w="0" w:type="dxa"/>
              <w:left w:w="0" w:type="dxa"/>
              <w:bottom w:w="0" w:type="dxa"/>
              <w:right w:w="0" w:type="dxa"/>
            </w:tcMar>
            <w:vAlign w:val="center"/>
          </w:tcPr>
          <w:p>
            <w:pPr>
              <w:pStyle w:val="TableContents"/>
              <w:bidi w:val="0"/>
              <w:spacing w:before="0" w:after="283"/>
              <w:jc w:val="center"/>
              <w:rPr/>
            </w:pPr>
            <w:r>
              <w:rPr/>
              <w:t xml:space="preserve">PART I </w:t>
            </w:r>
          </w:p>
        </w:tc>
        <w:tc>
          <w:tcPr>
            <w:tcW w:w="673"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801" w:type="dxa"/>
            <w:tcBorders/>
            <w:vAlign w:val="center"/>
          </w:tcPr>
          <w:p>
            <w:pPr>
              <w:pStyle w:val="TableContents"/>
              <w:bidi w:val="0"/>
              <w:spacing w:before="0" w:after="283"/>
              <w:jc w:val="both"/>
              <w:rPr/>
            </w:pPr>
            <w:hyperlink w:anchor="Item_1_-_Business">
              <w:r>
                <w:rPr>
                  <w:rStyle w:val="InternetLink"/>
                  <w:b/>
                </w:rPr>
                <w:t>Item 1.</w:t>
              </w:r>
            </w:hyperlink>
          </w:p>
        </w:tc>
        <w:tc>
          <w:tcPr>
            <w:tcW w:w="8731" w:type="dxa"/>
            <w:tcBorders/>
            <w:vAlign w:val="center"/>
          </w:tcPr>
          <w:p>
            <w:pPr>
              <w:pStyle w:val="TableContents"/>
              <w:bidi w:val="0"/>
              <w:spacing w:before="0" w:after="283"/>
              <w:jc w:val="both"/>
              <w:rPr/>
            </w:pPr>
            <w:hyperlink w:anchor="Item_1_-_Business">
              <w:r>
                <w:rPr>
                  <w:rStyle w:val="InternetLink"/>
                  <w:b/>
                </w:rPr>
                <w:t>BUSINESS</w:t>
              </w:r>
            </w:hyperlink>
          </w:p>
        </w:tc>
        <w:tc>
          <w:tcPr>
            <w:tcW w:w="673" w:type="dxa"/>
            <w:tcBorders/>
            <w:vAlign w:val="center"/>
          </w:tcPr>
          <w:p>
            <w:pPr>
              <w:pStyle w:val="TableContents"/>
              <w:bidi w:val="0"/>
              <w:spacing w:before="0" w:after="283"/>
              <w:jc w:val="center"/>
              <w:rPr/>
            </w:pPr>
            <w:r>
              <w:rPr/>
              <w:t>3</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_1A_Risk_Factors">
              <w:r>
                <w:rPr>
                  <w:rStyle w:val="InternetLink"/>
                  <w:b/>
                  <w:u w:val="single"/>
                </w:rPr>
                <w:t>Item 1A.</w:t>
              </w:r>
            </w:hyperlink>
            <w:r>
              <w:rPr/>
              <w:t xml:space="preserve"> </w:t>
            </w:r>
          </w:p>
        </w:tc>
        <w:tc>
          <w:tcPr>
            <w:tcW w:w="8731" w:type="dxa"/>
            <w:tcBorders/>
            <w:tcMar>
              <w:top w:w="0" w:type="dxa"/>
              <w:left w:w="0" w:type="dxa"/>
              <w:bottom w:w="0" w:type="dxa"/>
              <w:right w:w="0" w:type="dxa"/>
            </w:tcMar>
            <w:vAlign w:val="center"/>
          </w:tcPr>
          <w:p>
            <w:pPr>
              <w:pStyle w:val="TableContents"/>
              <w:bidi w:val="0"/>
              <w:spacing w:before="0" w:after="283"/>
              <w:jc w:val="both"/>
              <w:rPr/>
            </w:pPr>
            <w:hyperlink w:anchor="Item_1A_Risk_Factors">
              <w:r>
                <w:rPr>
                  <w:rStyle w:val="InternetLink"/>
                  <w:b/>
                  <w:u w:val="single"/>
                </w:rPr>
                <w:t>RISK FACTORS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4</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1BUNRESOLVEDSTAFFCOMM">
              <w:r>
                <w:rPr>
                  <w:rStyle w:val="InternetLink"/>
                  <w:b/>
                  <w:u w:val="single"/>
                </w:rPr>
                <w:t>Item 1B.</w:t>
              </w:r>
            </w:hyperlink>
            <w:r>
              <w:rPr/>
              <w:t xml:space="preserve"> </w:t>
            </w:r>
          </w:p>
        </w:tc>
        <w:tc>
          <w:tcPr>
            <w:tcW w:w="8731" w:type="dxa"/>
            <w:tcBorders/>
            <w:tcMar>
              <w:top w:w="0" w:type="dxa"/>
              <w:left w:w="0" w:type="dxa"/>
              <w:bottom w:w="0" w:type="dxa"/>
              <w:right w:w="0" w:type="dxa"/>
            </w:tcMar>
            <w:vAlign w:val="center"/>
          </w:tcPr>
          <w:p>
            <w:pPr>
              <w:pStyle w:val="TableContents"/>
              <w:bidi w:val="0"/>
              <w:spacing w:before="0" w:after="283"/>
              <w:jc w:val="both"/>
              <w:rPr/>
            </w:pPr>
            <w:hyperlink w:anchor="Item1BUNRESOLVEDSTAFFCOMM">
              <w:r>
                <w:rPr>
                  <w:rStyle w:val="InternetLink"/>
                  <w:b/>
                  <w:u w:val="single"/>
                </w:rPr>
                <w:t>UNRESOLVED STAFF COMMENTS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7</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1C">
              <w:r>
                <w:rPr>
                  <w:rStyle w:val="InternetLink"/>
                  <w:b/>
                </w:rPr>
                <w:t>Item 1C</w:t>
              </w:r>
            </w:hyperlink>
            <w:r>
              <w:rPr>
                <w:b/>
              </w:rPr>
              <w:t>.</w:t>
            </w:r>
            <w:r>
              <w:rPr/>
              <w:t xml:space="preserve"> </w:t>
            </w:r>
          </w:p>
        </w:tc>
        <w:tc>
          <w:tcPr>
            <w:tcW w:w="8731" w:type="dxa"/>
            <w:tcBorders/>
            <w:tcMar>
              <w:top w:w="0" w:type="dxa"/>
              <w:left w:w="0" w:type="dxa"/>
              <w:bottom w:w="0" w:type="dxa"/>
              <w:right w:w="0" w:type="dxa"/>
            </w:tcMar>
            <w:vAlign w:val="center"/>
          </w:tcPr>
          <w:p>
            <w:pPr>
              <w:pStyle w:val="TableContents"/>
              <w:bidi w:val="0"/>
              <w:spacing w:before="0" w:after="283"/>
              <w:jc w:val="both"/>
              <w:rPr/>
            </w:pPr>
            <w:hyperlink w:anchor="Item1C">
              <w:r>
                <w:rPr>
                  <w:rStyle w:val="InternetLink"/>
                  <w:b/>
                </w:rPr>
                <w:t>CYBERSECURITY</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7</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2PROPERTIES">
              <w:r>
                <w:rPr>
                  <w:rStyle w:val="InternetLink"/>
                  <w:b/>
                  <w:u w:val="single"/>
                </w:rPr>
                <w:t>Item 2.</w:t>
              </w:r>
            </w:hyperlink>
            <w:r>
              <w:rPr/>
              <w:t xml:space="preserve"> </w:t>
            </w:r>
          </w:p>
        </w:tc>
        <w:tc>
          <w:tcPr>
            <w:tcW w:w="8731" w:type="dxa"/>
            <w:tcBorders/>
            <w:tcMar>
              <w:top w:w="0" w:type="dxa"/>
              <w:left w:w="0" w:type="dxa"/>
              <w:bottom w:w="0" w:type="dxa"/>
              <w:right w:w="0" w:type="dxa"/>
            </w:tcMar>
            <w:vAlign w:val="center"/>
          </w:tcPr>
          <w:p>
            <w:pPr>
              <w:pStyle w:val="TableContents"/>
              <w:bidi w:val="0"/>
              <w:spacing w:before="0" w:after="283"/>
              <w:jc w:val="both"/>
              <w:rPr/>
            </w:pPr>
            <w:hyperlink w:anchor="Item2PROPERTIES">
              <w:r>
                <w:rPr>
                  <w:rStyle w:val="InternetLink"/>
                  <w:b/>
                  <w:u w:val="single"/>
                </w:rPr>
                <w:t>PROPERTIES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8</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3LEGALPROCEEDINGS">
              <w:r>
                <w:rPr>
                  <w:rStyle w:val="InternetLink"/>
                  <w:b/>
                  <w:u w:val="single"/>
                </w:rPr>
                <w:t>Item 3.</w:t>
              </w:r>
            </w:hyperlink>
            <w:r>
              <w:rPr/>
              <w:t xml:space="preserve"> </w:t>
            </w:r>
          </w:p>
        </w:tc>
        <w:tc>
          <w:tcPr>
            <w:tcW w:w="8731" w:type="dxa"/>
            <w:tcBorders/>
            <w:tcMar>
              <w:top w:w="0" w:type="dxa"/>
              <w:left w:w="0" w:type="dxa"/>
              <w:bottom w:w="0" w:type="dxa"/>
              <w:right w:w="0" w:type="dxa"/>
            </w:tcMar>
            <w:vAlign w:val="center"/>
          </w:tcPr>
          <w:p>
            <w:pPr>
              <w:pStyle w:val="TableContents"/>
              <w:bidi w:val="0"/>
              <w:spacing w:before="0" w:after="283"/>
              <w:jc w:val="both"/>
              <w:rPr/>
            </w:pPr>
            <w:hyperlink w:anchor="Item3LEGALPROCEEDINGS">
              <w:r>
                <w:rPr>
                  <w:rStyle w:val="InternetLink"/>
                  <w:b/>
                  <w:u w:val="single"/>
                </w:rPr>
                <w:t>LEGAL PROCEEDINGS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8</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4MINESAFETYDISCLOSURE">
              <w:r>
                <w:rPr>
                  <w:rStyle w:val="InternetLink"/>
                  <w:b/>
                  <w:u w:val="single"/>
                </w:rPr>
                <w:t>Item 4.</w:t>
              </w:r>
            </w:hyperlink>
            <w:r>
              <w:rPr/>
              <w:t xml:space="preserve"> </w:t>
            </w:r>
          </w:p>
        </w:tc>
        <w:tc>
          <w:tcPr>
            <w:tcW w:w="8731" w:type="dxa"/>
            <w:tcBorders/>
            <w:tcMar>
              <w:top w:w="0" w:type="dxa"/>
              <w:left w:w="0" w:type="dxa"/>
              <w:bottom w:w="0" w:type="dxa"/>
              <w:right w:w="0" w:type="dxa"/>
            </w:tcMar>
            <w:vAlign w:val="center"/>
          </w:tcPr>
          <w:p>
            <w:pPr>
              <w:pStyle w:val="TableContents"/>
              <w:bidi w:val="0"/>
              <w:spacing w:before="0" w:after="283"/>
              <w:jc w:val="both"/>
              <w:rPr/>
            </w:pPr>
            <w:hyperlink w:anchor="Item4MINESAFETYDISCLOSURE">
              <w:r>
                <w:rPr>
                  <w:rStyle w:val="InternetLink"/>
                  <w:b/>
                  <w:u w:val="single"/>
                </w:rPr>
                <w:t>MINE SAFETY DISCLOSURES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8</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r>
              <w:rPr/>
              <w:t> </w:t>
            </w:r>
          </w:p>
        </w:tc>
        <w:tc>
          <w:tcPr>
            <w:tcW w:w="8731" w:type="dxa"/>
            <w:tcBorders/>
            <w:vAlign w:val="center"/>
          </w:tcPr>
          <w:p>
            <w:pPr>
              <w:pStyle w:val="TableContents"/>
              <w:bidi w:val="0"/>
              <w:spacing w:before="0" w:after="283"/>
              <w:jc w:val="left"/>
              <w:rPr/>
            </w:pPr>
            <w:r>
              <w:rPr/>
              <w:t>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 w:type="dxa"/>
            <w:tcBorders/>
            <w:vAlign w:val="center"/>
          </w:tcPr>
          <w:p>
            <w:pPr>
              <w:pStyle w:val="TableContents"/>
              <w:bidi w:val="0"/>
              <w:spacing w:before="0" w:after="283"/>
              <w:jc w:val="left"/>
              <w:rPr/>
            </w:pPr>
            <w:r>
              <w:rPr/>
              <w:t> </w:t>
            </w:r>
          </w:p>
        </w:tc>
        <w:tc>
          <w:tcPr>
            <w:tcW w:w="8731" w:type="dxa"/>
            <w:tcBorders/>
            <w:tcMar>
              <w:top w:w="0" w:type="dxa"/>
              <w:left w:w="0" w:type="dxa"/>
              <w:bottom w:w="0" w:type="dxa"/>
              <w:right w:w="0" w:type="dxa"/>
            </w:tcMar>
            <w:vAlign w:val="center"/>
          </w:tcPr>
          <w:p>
            <w:pPr>
              <w:pStyle w:val="TableContents"/>
              <w:bidi w:val="0"/>
              <w:spacing w:before="0" w:after="283"/>
              <w:jc w:val="center"/>
              <w:rPr/>
            </w:pPr>
            <w:r>
              <w:rPr/>
              <w:t xml:space="preserve">PART II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 w:type="dxa"/>
            <w:tcBorders/>
            <w:vAlign w:val="center"/>
          </w:tcPr>
          <w:p>
            <w:pPr>
              <w:pStyle w:val="TableContents"/>
              <w:bidi w:val="0"/>
              <w:spacing w:before="0" w:after="283"/>
              <w:jc w:val="left"/>
              <w:rPr/>
            </w:pPr>
            <w:r>
              <w:rPr/>
              <w:t> </w:t>
            </w:r>
          </w:p>
        </w:tc>
        <w:tc>
          <w:tcPr>
            <w:tcW w:w="8731" w:type="dxa"/>
            <w:tcBorders/>
            <w:vAlign w:val="center"/>
          </w:tcPr>
          <w:p>
            <w:pPr>
              <w:pStyle w:val="TableContents"/>
              <w:bidi w:val="0"/>
              <w:spacing w:before="0" w:after="283"/>
              <w:jc w:val="left"/>
              <w:rPr/>
            </w:pPr>
            <w:r>
              <w:rPr/>
              <w:t>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5MARKET">
              <w:r>
                <w:rPr>
                  <w:rStyle w:val="InternetLink"/>
                  <w:b/>
                  <w:u w:val="single"/>
                </w:rPr>
                <w:t>Item 5.</w:t>
              </w:r>
            </w:hyperlink>
            <w:r>
              <w:rPr/>
              <w:t xml:space="preserve"> </w:t>
            </w:r>
          </w:p>
        </w:tc>
        <w:tc>
          <w:tcPr>
            <w:tcW w:w="8731" w:type="dxa"/>
            <w:tcBorders/>
            <w:vAlign w:val="center"/>
          </w:tcPr>
          <w:p>
            <w:pPr>
              <w:pStyle w:val="TableContents"/>
              <w:bidi w:val="0"/>
              <w:spacing w:before="0" w:after="0"/>
              <w:jc w:val="left"/>
              <w:rPr/>
            </w:pPr>
            <w:hyperlink w:anchor="Item5MARKET">
              <w:r>
                <w:rPr>
                  <w:rStyle w:val="InternetLink"/>
                  <w:b/>
                  <w:u w:val="single"/>
                </w:rPr>
                <w:t>MARKET FOR REGISTRANT’S COMMON EQUITY, RELATED STOCKHOLDER MATTERS, AND ISSUER PURCHASES OF EQUITY SECURITIES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8</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6">
              <w:r>
                <w:rPr>
                  <w:rStyle w:val="InternetLink"/>
                  <w:b/>
                </w:rPr>
                <w:t>Item 6</w:t>
              </w:r>
            </w:hyperlink>
            <w:hyperlink w:anchor="Item6">
              <w:r>
                <w:rPr>
                  <w:rStyle w:val="InternetLink"/>
                  <w:b/>
                </w:rPr>
                <w:t>.</w:t>
              </w:r>
            </w:hyperlink>
            <w:r>
              <w:rPr/>
              <w:t xml:space="preserve"> </w:t>
            </w:r>
          </w:p>
        </w:tc>
        <w:tc>
          <w:tcPr>
            <w:tcW w:w="8731" w:type="dxa"/>
            <w:tcBorders/>
            <w:vAlign w:val="center"/>
          </w:tcPr>
          <w:p>
            <w:pPr>
              <w:pStyle w:val="TableContents"/>
              <w:bidi w:val="0"/>
              <w:spacing w:before="0" w:after="0"/>
              <w:jc w:val="left"/>
              <w:rPr/>
            </w:pPr>
            <w:hyperlink w:anchor="Item6">
              <w:r>
                <w:rPr>
                  <w:rStyle w:val="InternetLink"/>
                  <w:b/>
                </w:rPr>
                <w:t>RESERVED</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8</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7MANAGEMENT">
              <w:r>
                <w:rPr>
                  <w:rStyle w:val="InternetLink"/>
                  <w:b/>
                  <w:u w:val="single"/>
                </w:rPr>
                <w:t>Item 7.</w:t>
              </w:r>
            </w:hyperlink>
            <w:r>
              <w:rPr/>
              <w:t xml:space="preserve"> </w:t>
            </w:r>
          </w:p>
        </w:tc>
        <w:tc>
          <w:tcPr>
            <w:tcW w:w="8731" w:type="dxa"/>
            <w:tcBorders/>
            <w:vAlign w:val="center"/>
          </w:tcPr>
          <w:p>
            <w:pPr>
              <w:pStyle w:val="TableContents"/>
              <w:bidi w:val="0"/>
              <w:spacing w:before="0" w:after="0"/>
              <w:jc w:val="left"/>
              <w:rPr/>
            </w:pPr>
            <w:hyperlink w:anchor="Item7MANAGEMENT">
              <w:r>
                <w:rPr>
                  <w:rStyle w:val="InternetLink"/>
                  <w:b/>
                  <w:u w:val="single"/>
                </w:rPr>
                <w:t>MANAGEMENT’S DISCUSSION AND ANALYSIS OF FINANCIAL CONDITION AND RESULTS OF OPERATIONS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8</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7AQUANTITATIVE">
              <w:r>
                <w:rPr>
                  <w:rStyle w:val="InternetLink"/>
                  <w:b/>
                  <w:u w:val="single"/>
                </w:rPr>
                <w:t>Item 7A.</w:t>
              </w:r>
            </w:hyperlink>
            <w:r>
              <w:rPr/>
              <w:t xml:space="preserve"> </w:t>
            </w:r>
          </w:p>
        </w:tc>
        <w:tc>
          <w:tcPr>
            <w:tcW w:w="8731" w:type="dxa"/>
            <w:tcBorders/>
            <w:vAlign w:val="center"/>
          </w:tcPr>
          <w:p>
            <w:pPr>
              <w:pStyle w:val="TableContents"/>
              <w:bidi w:val="0"/>
              <w:spacing w:before="0" w:after="0"/>
              <w:jc w:val="left"/>
              <w:rPr/>
            </w:pPr>
            <w:hyperlink w:anchor="Item7AQUANTITATIVE">
              <w:r>
                <w:rPr>
                  <w:rStyle w:val="InternetLink"/>
                  <w:b/>
                  <w:u w:val="single"/>
                </w:rPr>
                <w:t>QUANTITATIVE AND QUALITATIVE DISCLOSURES ABOUT MARKET RISK</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11</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_8_Financial_Statements">
              <w:r>
                <w:rPr>
                  <w:rStyle w:val="InternetLink"/>
                  <w:b/>
                  <w:u w:val="single"/>
                </w:rPr>
                <w:t>Item 8.</w:t>
              </w:r>
            </w:hyperlink>
            <w:r>
              <w:rPr/>
              <w:t xml:space="preserve"> </w:t>
            </w:r>
          </w:p>
        </w:tc>
        <w:tc>
          <w:tcPr>
            <w:tcW w:w="8731" w:type="dxa"/>
            <w:tcBorders/>
            <w:vAlign w:val="center"/>
          </w:tcPr>
          <w:p>
            <w:pPr>
              <w:pStyle w:val="TableContents"/>
              <w:bidi w:val="0"/>
              <w:spacing w:before="0" w:after="0"/>
              <w:jc w:val="left"/>
              <w:rPr/>
            </w:pPr>
            <w:hyperlink w:anchor="Item_8_Financial_Statements">
              <w:r>
                <w:rPr>
                  <w:rStyle w:val="InternetLink"/>
                  <w:b/>
                  <w:u w:val="single"/>
                </w:rPr>
                <w:t>FINANCIAL STATEMENTS AND SUPPLEMENTARY DATA</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12</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r>
              <w:rPr/>
              <w:t> </w:t>
            </w:r>
          </w:p>
        </w:tc>
        <w:tc>
          <w:tcPr>
            <w:tcW w:w="8731" w:type="dxa"/>
            <w:tcBorders/>
            <w:vAlign w:val="center"/>
          </w:tcPr>
          <w:p>
            <w:pPr>
              <w:pStyle w:val="TableContents"/>
              <w:bidi w:val="0"/>
              <w:spacing w:before="0" w:after="0"/>
              <w:jc w:val="left"/>
              <w:rPr/>
            </w:pPr>
            <w:hyperlink w:anchor="Report">
              <w:r>
                <w:rPr>
                  <w:rStyle w:val="InternetLink"/>
                </w:rPr>
                <w:t>Report of Independent Registered Public Accounting Firm</w:t>
              </w:r>
            </w:hyperlink>
            <w:r>
              <w:rPr/>
              <w:t xml:space="preserve"> (PCAOB ID 42)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12</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r>
              <w:rPr/>
              <w:t> </w:t>
            </w:r>
          </w:p>
        </w:tc>
        <w:tc>
          <w:tcPr>
            <w:tcW w:w="8731" w:type="dxa"/>
            <w:tcBorders/>
            <w:vAlign w:val="center"/>
          </w:tcPr>
          <w:p>
            <w:pPr>
              <w:pStyle w:val="TableContents"/>
              <w:bidi w:val="0"/>
              <w:spacing w:before="0" w:after="0"/>
              <w:jc w:val="left"/>
              <w:rPr/>
            </w:pPr>
            <w:hyperlink w:anchor="Statements_of_Operations">
              <w:r>
                <w:rPr>
                  <w:rStyle w:val="InternetLink"/>
                </w:rPr>
                <w:t xml:space="preserve">Consolidated and Combined Statements of Operations and Comprehensive Income (Loss) </w:t>
              </w:r>
            </w:hyperlink>
          </w:p>
        </w:tc>
        <w:tc>
          <w:tcPr>
            <w:tcW w:w="673" w:type="dxa"/>
            <w:tcBorders/>
            <w:tcMar>
              <w:top w:w="0" w:type="dxa"/>
              <w:left w:w="0" w:type="dxa"/>
              <w:bottom w:w="0" w:type="dxa"/>
              <w:right w:w="0" w:type="dxa"/>
            </w:tcMar>
            <w:vAlign w:val="center"/>
          </w:tcPr>
          <w:p>
            <w:pPr>
              <w:pStyle w:val="TableContents"/>
              <w:bidi w:val="0"/>
              <w:spacing w:before="0" w:after="283"/>
              <w:jc w:val="center"/>
              <w:rPr/>
            </w:pPr>
            <w:r>
              <w:rPr/>
              <w:t xml:space="preserve">14 </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r>
              <w:rPr/>
              <w:t> </w:t>
            </w:r>
          </w:p>
        </w:tc>
        <w:tc>
          <w:tcPr>
            <w:tcW w:w="8731" w:type="dxa"/>
            <w:tcBorders/>
            <w:vAlign w:val="center"/>
          </w:tcPr>
          <w:p>
            <w:pPr>
              <w:pStyle w:val="TableContents"/>
              <w:bidi w:val="0"/>
              <w:spacing w:before="0" w:after="0"/>
              <w:jc w:val="left"/>
              <w:rPr/>
            </w:pPr>
            <w:hyperlink w:anchor="Balance_Sheets">
              <w:r>
                <w:rPr>
                  <w:rStyle w:val="InternetLink"/>
                </w:rPr>
                <w:t>Consolidated and Combined Balance Sheets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xml:space="preserve">15 </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r>
              <w:rPr/>
              <w:t> </w:t>
            </w:r>
          </w:p>
        </w:tc>
        <w:tc>
          <w:tcPr>
            <w:tcW w:w="8731" w:type="dxa"/>
            <w:tcBorders/>
            <w:vAlign w:val="center"/>
          </w:tcPr>
          <w:p>
            <w:pPr>
              <w:pStyle w:val="TableContents"/>
              <w:bidi w:val="0"/>
              <w:spacing w:before="0" w:after="0"/>
              <w:jc w:val="left"/>
              <w:rPr/>
            </w:pPr>
            <w:hyperlink w:anchor="Statements_of_Cash_Flows">
              <w:r>
                <w:rPr>
                  <w:rStyle w:val="InternetLink"/>
                </w:rPr>
                <w:t>Consolidated and Combined Statements of Cash Flows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xml:space="preserve">16 </w:t>
            </w:r>
          </w:p>
        </w:tc>
      </w:tr>
      <w:tr>
        <w:trPr/>
        <w:tc>
          <w:tcPr>
            <w:tcW w:w="801" w:type="dxa"/>
            <w:tcBorders/>
            <w:vAlign w:val="center"/>
          </w:tcPr>
          <w:p>
            <w:pPr>
              <w:pStyle w:val="TableContents"/>
              <w:bidi w:val="0"/>
              <w:spacing w:before="0" w:after="283"/>
              <w:jc w:val="both"/>
              <w:rPr/>
            </w:pPr>
            <w:r>
              <w:rPr/>
              <w:t> </w:t>
            </w:r>
          </w:p>
        </w:tc>
        <w:tc>
          <w:tcPr>
            <w:tcW w:w="8731" w:type="dxa"/>
            <w:tcBorders/>
            <w:vAlign w:val="center"/>
          </w:tcPr>
          <w:p>
            <w:pPr>
              <w:pStyle w:val="TableContents"/>
              <w:bidi w:val="0"/>
              <w:spacing w:before="0" w:after="283"/>
              <w:jc w:val="left"/>
              <w:rPr/>
            </w:pPr>
            <w:hyperlink w:anchor="Statements_of_Stockholders_Equity">
              <w:r>
                <w:rPr>
                  <w:rStyle w:val="InternetLink"/>
                </w:rPr>
                <w:t>Consolidated and Combined Statements of Changes in Equity</w:t>
              </w:r>
            </w:hyperlink>
          </w:p>
        </w:tc>
        <w:tc>
          <w:tcPr>
            <w:tcW w:w="673" w:type="dxa"/>
            <w:tcBorders/>
            <w:vAlign w:val="center"/>
          </w:tcPr>
          <w:p>
            <w:pPr>
              <w:pStyle w:val="TableContents"/>
              <w:bidi w:val="0"/>
              <w:spacing w:before="0" w:after="283"/>
              <w:jc w:val="center"/>
              <w:rPr/>
            </w:pPr>
            <w:r>
              <w:rPr/>
              <w:t>17</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r>
              <w:rPr/>
              <w:t> </w:t>
            </w:r>
          </w:p>
        </w:tc>
        <w:tc>
          <w:tcPr>
            <w:tcW w:w="8731" w:type="dxa"/>
            <w:tcBorders/>
            <w:vAlign w:val="center"/>
          </w:tcPr>
          <w:p>
            <w:pPr>
              <w:pStyle w:val="TableContents"/>
              <w:bidi w:val="0"/>
              <w:spacing w:before="0" w:after="0"/>
              <w:jc w:val="left"/>
              <w:rPr/>
            </w:pPr>
            <w:hyperlink w:anchor="Notes_to_Financial_Statements">
              <w:r>
                <w:rPr>
                  <w:rStyle w:val="InternetLink"/>
                </w:rPr>
                <w:t>Notes to Consolidated and Combined Financial Statements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xml:space="preserve">18 </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_9_CHANGES_IN_AND_DISAGREEMENTS_WITH_ACCOUNTANTS_ON_ACCOUNTING_AND_FINANCIAL_DISCLOSURE">
              <w:r>
                <w:rPr>
                  <w:rStyle w:val="InternetLink"/>
                  <w:b/>
                </w:rPr>
                <w:t>Item 9.</w:t>
              </w:r>
            </w:hyperlink>
            <w:r>
              <w:rPr/>
              <w:t xml:space="preserve"> </w:t>
            </w:r>
          </w:p>
        </w:tc>
        <w:tc>
          <w:tcPr>
            <w:tcW w:w="8731" w:type="dxa"/>
            <w:tcBorders/>
            <w:vAlign w:val="center"/>
          </w:tcPr>
          <w:p>
            <w:pPr>
              <w:pStyle w:val="TableContents"/>
              <w:bidi w:val="0"/>
              <w:spacing w:before="0" w:after="0"/>
              <w:jc w:val="left"/>
              <w:rPr/>
            </w:pPr>
            <w:hyperlink w:anchor="Item_9_CHANGES_IN_AND_DISAGREEMENTS_WITH_ACCOUNTANTS_ON_ACCOUNTING_AND_FINANCIAL_DISCLOSURE">
              <w:r>
                <w:rPr>
                  <w:rStyle w:val="InternetLink"/>
                  <w:b/>
                </w:rPr>
                <w:t>CHANGES IN AND DISAGREEMENTS WITH ACCOUNTANTS ON ACCOUNTING AND FINANCIAL DISCLOSURE</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31</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9A">
              <w:r>
                <w:rPr>
                  <w:rStyle w:val="InternetLink"/>
                  <w:b/>
                </w:rPr>
                <w:t>Item 9A.</w:t>
              </w:r>
            </w:hyperlink>
            <w:r>
              <w:rPr/>
              <w:t xml:space="preserve"> </w:t>
            </w:r>
          </w:p>
        </w:tc>
        <w:tc>
          <w:tcPr>
            <w:tcW w:w="8731" w:type="dxa"/>
            <w:tcBorders/>
            <w:vAlign w:val="center"/>
          </w:tcPr>
          <w:p>
            <w:pPr>
              <w:pStyle w:val="TableContents"/>
              <w:bidi w:val="0"/>
              <w:spacing w:before="0" w:after="0"/>
              <w:jc w:val="left"/>
              <w:rPr/>
            </w:pPr>
            <w:hyperlink w:anchor="Item9A">
              <w:r>
                <w:rPr>
                  <w:rStyle w:val="InternetLink"/>
                  <w:b/>
                </w:rPr>
                <w:t>CONTROLS AND PROCEDURES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31</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_9B_OTHER_INFORMATION">
              <w:r>
                <w:rPr>
                  <w:rStyle w:val="InternetLink"/>
                  <w:b/>
                </w:rPr>
                <w:t>Item 9B.</w:t>
              </w:r>
            </w:hyperlink>
            <w:r>
              <w:rPr/>
              <w:t xml:space="preserve"> </w:t>
            </w:r>
          </w:p>
        </w:tc>
        <w:tc>
          <w:tcPr>
            <w:tcW w:w="8731" w:type="dxa"/>
            <w:tcBorders/>
            <w:vAlign w:val="center"/>
          </w:tcPr>
          <w:p>
            <w:pPr>
              <w:pStyle w:val="TableContents"/>
              <w:bidi w:val="0"/>
              <w:spacing w:before="0" w:after="0"/>
              <w:jc w:val="left"/>
              <w:rPr/>
            </w:pPr>
            <w:hyperlink w:anchor="Item_9B_OTHER_INFORMATION">
              <w:r>
                <w:rPr>
                  <w:rStyle w:val="InternetLink"/>
                  <w:b/>
                </w:rPr>
                <w:t>OTHER INFORMATION</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31</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9CInspections">
              <w:r>
                <w:rPr>
                  <w:rStyle w:val="InternetLink"/>
                  <w:b/>
                </w:rPr>
                <w:t>Item 9C.</w:t>
              </w:r>
            </w:hyperlink>
            <w:r>
              <w:rPr/>
              <w:t xml:space="preserve"> </w:t>
            </w:r>
          </w:p>
        </w:tc>
        <w:tc>
          <w:tcPr>
            <w:tcW w:w="8731" w:type="dxa"/>
            <w:tcBorders/>
            <w:vAlign w:val="center"/>
          </w:tcPr>
          <w:p>
            <w:pPr>
              <w:pStyle w:val="TableContents"/>
              <w:bidi w:val="0"/>
              <w:spacing w:before="0" w:after="0"/>
              <w:jc w:val="left"/>
              <w:rPr/>
            </w:pPr>
            <w:hyperlink w:anchor="Item9CInspections">
              <w:r>
                <w:rPr>
                  <w:rStyle w:val="InternetLink"/>
                  <w:b/>
                </w:rPr>
                <w:t>DISCLOSURE REGARDING FOREIGN JURISDICTIONS THAT PREVENT INSPECTIONS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31</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r>
              <w:rPr/>
              <w:t> </w:t>
            </w:r>
          </w:p>
        </w:tc>
        <w:tc>
          <w:tcPr>
            <w:tcW w:w="8731" w:type="dxa"/>
            <w:tcBorders/>
            <w:tcMar>
              <w:top w:w="0" w:type="dxa"/>
              <w:left w:w="0" w:type="dxa"/>
              <w:bottom w:w="0" w:type="dxa"/>
              <w:right w:w="0" w:type="dxa"/>
            </w:tcMar>
            <w:vAlign w:val="center"/>
          </w:tcPr>
          <w:p>
            <w:pPr>
              <w:pStyle w:val="TableContents"/>
              <w:bidi w:val="0"/>
              <w:spacing w:before="0" w:after="283"/>
              <w:jc w:val="both"/>
              <w:rPr/>
            </w:pPr>
            <w:r>
              <w:rPr/>
              <w:t>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 w:type="dxa"/>
            <w:tcBorders/>
            <w:vAlign w:val="center"/>
          </w:tcPr>
          <w:p>
            <w:pPr>
              <w:pStyle w:val="TableContents"/>
              <w:bidi w:val="0"/>
              <w:spacing w:before="0" w:after="283"/>
              <w:jc w:val="left"/>
              <w:rPr/>
            </w:pPr>
            <w:r>
              <w:rPr/>
              <w:t> </w:t>
            </w:r>
          </w:p>
        </w:tc>
        <w:tc>
          <w:tcPr>
            <w:tcW w:w="8731" w:type="dxa"/>
            <w:tcBorders/>
            <w:tcMar>
              <w:top w:w="0" w:type="dxa"/>
              <w:left w:w="0" w:type="dxa"/>
              <w:bottom w:w="0" w:type="dxa"/>
              <w:right w:w="0" w:type="dxa"/>
            </w:tcMar>
            <w:vAlign w:val="center"/>
          </w:tcPr>
          <w:p>
            <w:pPr>
              <w:pStyle w:val="TableContents"/>
              <w:bidi w:val="0"/>
              <w:spacing w:before="0" w:after="283"/>
              <w:jc w:val="center"/>
              <w:rPr/>
            </w:pPr>
            <w:r>
              <w:rPr/>
              <w:t xml:space="preserve">PART III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 w:type="dxa"/>
            <w:tcBorders/>
            <w:vAlign w:val="center"/>
          </w:tcPr>
          <w:p>
            <w:pPr>
              <w:pStyle w:val="TableContents"/>
              <w:bidi w:val="0"/>
              <w:spacing w:before="0" w:after="283"/>
              <w:jc w:val="left"/>
              <w:rPr/>
            </w:pPr>
            <w:r>
              <w:rPr/>
              <w:t> </w:t>
            </w:r>
          </w:p>
        </w:tc>
        <w:tc>
          <w:tcPr>
            <w:tcW w:w="8731" w:type="dxa"/>
            <w:tcBorders/>
            <w:vAlign w:val="center"/>
          </w:tcPr>
          <w:p>
            <w:pPr>
              <w:pStyle w:val="TableContents"/>
              <w:bidi w:val="0"/>
              <w:spacing w:before="0" w:after="283"/>
              <w:jc w:val="left"/>
              <w:rPr/>
            </w:pPr>
            <w:r>
              <w:rPr/>
              <w:t>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10">
              <w:r>
                <w:rPr>
                  <w:rStyle w:val="InternetLink"/>
                  <w:b/>
                </w:rPr>
                <w:t>Item 10.</w:t>
              </w:r>
            </w:hyperlink>
            <w:r>
              <w:rPr/>
              <w:t xml:space="preserve"> </w:t>
            </w:r>
          </w:p>
        </w:tc>
        <w:tc>
          <w:tcPr>
            <w:tcW w:w="8731" w:type="dxa"/>
            <w:tcBorders/>
            <w:vAlign w:val="center"/>
          </w:tcPr>
          <w:p>
            <w:pPr>
              <w:pStyle w:val="TableContents"/>
              <w:bidi w:val="0"/>
              <w:spacing w:before="0" w:after="0"/>
              <w:jc w:val="left"/>
              <w:rPr/>
            </w:pPr>
            <w:hyperlink w:anchor="Item10">
              <w:r>
                <w:rPr>
                  <w:rStyle w:val="InternetLink"/>
                  <w:b/>
                </w:rPr>
                <w:t>DIRECTORS, EXECUTIVE OFFICERS AND CORPORATE GOVERNANCE</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32</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11">
              <w:r>
                <w:rPr>
                  <w:rStyle w:val="InternetLink"/>
                  <w:b/>
                </w:rPr>
                <w:t>Item 11.</w:t>
              </w:r>
            </w:hyperlink>
            <w:r>
              <w:rPr/>
              <w:t xml:space="preserve"> </w:t>
            </w:r>
          </w:p>
        </w:tc>
        <w:tc>
          <w:tcPr>
            <w:tcW w:w="8731" w:type="dxa"/>
            <w:tcBorders/>
            <w:vAlign w:val="center"/>
          </w:tcPr>
          <w:p>
            <w:pPr>
              <w:pStyle w:val="TableContents"/>
              <w:bidi w:val="0"/>
              <w:spacing w:before="0" w:after="0"/>
              <w:jc w:val="left"/>
              <w:rPr/>
            </w:pPr>
            <w:hyperlink w:anchor="Item11">
              <w:r>
                <w:rPr>
                  <w:rStyle w:val="InternetLink"/>
                  <w:b/>
                </w:rPr>
                <w:t>EXECUTIVE COMPENSATION</w:t>
              </w:r>
            </w:hyperlink>
          </w:p>
        </w:tc>
        <w:tc>
          <w:tcPr>
            <w:tcW w:w="673" w:type="dxa"/>
            <w:tcBorders/>
            <w:tcMar>
              <w:top w:w="0" w:type="dxa"/>
              <w:left w:w="0" w:type="dxa"/>
              <w:bottom w:w="0" w:type="dxa"/>
              <w:right w:w="0" w:type="dxa"/>
            </w:tcMar>
            <w:vAlign w:val="center"/>
          </w:tcPr>
          <w:p>
            <w:pPr>
              <w:pStyle w:val="TableContents"/>
              <w:bidi w:val="0"/>
              <w:spacing w:before="0" w:after="283"/>
              <w:jc w:val="center"/>
              <w:rPr/>
            </w:pPr>
            <w:r>
              <w:rPr/>
              <w:t>32</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12">
              <w:r>
                <w:rPr>
                  <w:rStyle w:val="InternetLink"/>
                  <w:b/>
                </w:rPr>
                <w:t>Item 12.</w:t>
              </w:r>
            </w:hyperlink>
            <w:r>
              <w:rPr/>
              <w:t xml:space="preserve"> </w:t>
            </w:r>
          </w:p>
        </w:tc>
        <w:tc>
          <w:tcPr>
            <w:tcW w:w="8731" w:type="dxa"/>
            <w:tcBorders/>
            <w:vAlign w:val="center"/>
          </w:tcPr>
          <w:p>
            <w:pPr>
              <w:pStyle w:val="TableContents"/>
              <w:bidi w:val="0"/>
              <w:spacing w:before="0" w:after="0"/>
              <w:jc w:val="left"/>
              <w:rPr/>
            </w:pPr>
            <w:hyperlink w:anchor="Item12">
              <w:r>
                <w:rPr>
                  <w:rStyle w:val="InternetLink"/>
                  <w:b/>
                </w:rPr>
                <w:t>SECURITY OWNERSHIP OF CERTAIN BENEFICIAL OWNERS AND MANAGEMENT AND RELATED STOCKHOLDER MATTERS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32</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13Relationships">
              <w:r>
                <w:rPr>
                  <w:rStyle w:val="InternetLink"/>
                  <w:b/>
                </w:rPr>
                <w:t>Item 13.</w:t>
              </w:r>
            </w:hyperlink>
            <w:r>
              <w:rPr/>
              <w:t xml:space="preserve"> </w:t>
            </w:r>
          </w:p>
        </w:tc>
        <w:tc>
          <w:tcPr>
            <w:tcW w:w="8731" w:type="dxa"/>
            <w:tcBorders/>
            <w:vAlign w:val="center"/>
          </w:tcPr>
          <w:p>
            <w:pPr>
              <w:pStyle w:val="TableContents"/>
              <w:bidi w:val="0"/>
              <w:spacing w:before="0" w:after="0"/>
              <w:jc w:val="left"/>
              <w:rPr/>
            </w:pPr>
            <w:hyperlink w:anchor="Item13Relationships">
              <w:r>
                <w:rPr>
                  <w:rStyle w:val="InternetLink"/>
                  <w:b/>
                </w:rPr>
                <w:t>CERTAIN RELATIONSHIPS AND RELATED TRANSACTIONS AND DIRECTOR INDEPENDENCE</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32</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14">
              <w:r>
                <w:rPr>
                  <w:rStyle w:val="InternetLink"/>
                  <w:b/>
                </w:rPr>
                <w:t>Item 14.</w:t>
              </w:r>
            </w:hyperlink>
            <w:r>
              <w:rPr/>
              <w:t xml:space="preserve"> </w:t>
            </w:r>
          </w:p>
        </w:tc>
        <w:tc>
          <w:tcPr>
            <w:tcW w:w="8731" w:type="dxa"/>
            <w:tcBorders/>
            <w:vAlign w:val="center"/>
          </w:tcPr>
          <w:p>
            <w:pPr>
              <w:pStyle w:val="TableContents"/>
              <w:bidi w:val="0"/>
              <w:spacing w:before="0" w:after="0"/>
              <w:jc w:val="left"/>
              <w:rPr/>
            </w:pPr>
            <w:hyperlink w:anchor="Item14">
              <w:r>
                <w:rPr>
                  <w:rStyle w:val="InternetLink"/>
                  <w:b/>
                </w:rPr>
                <w:t>PRINCIPAL ACCOUNTANT FEES AND SERVICES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32</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r>
              <w:rPr/>
              <w:t> </w:t>
            </w:r>
          </w:p>
        </w:tc>
        <w:tc>
          <w:tcPr>
            <w:tcW w:w="8731" w:type="dxa"/>
            <w:tcBorders/>
            <w:tcMar>
              <w:top w:w="0" w:type="dxa"/>
              <w:left w:w="0" w:type="dxa"/>
              <w:bottom w:w="0" w:type="dxa"/>
              <w:right w:w="0" w:type="dxa"/>
            </w:tcMar>
            <w:vAlign w:val="center"/>
          </w:tcPr>
          <w:p>
            <w:pPr>
              <w:pStyle w:val="TableContents"/>
              <w:bidi w:val="0"/>
              <w:spacing w:before="0" w:after="283"/>
              <w:jc w:val="both"/>
              <w:rPr/>
            </w:pPr>
            <w:r>
              <w:rPr/>
              <w:t>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 w:type="dxa"/>
            <w:tcBorders/>
            <w:vAlign w:val="center"/>
          </w:tcPr>
          <w:p>
            <w:pPr>
              <w:pStyle w:val="TableContents"/>
              <w:bidi w:val="0"/>
              <w:spacing w:before="0" w:after="283"/>
              <w:jc w:val="left"/>
              <w:rPr/>
            </w:pPr>
            <w:r>
              <w:rPr/>
              <w:t> </w:t>
            </w:r>
          </w:p>
        </w:tc>
        <w:tc>
          <w:tcPr>
            <w:tcW w:w="8731" w:type="dxa"/>
            <w:tcBorders/>
            <w:tcMar>
              <w:top w:w="0" w:type="dxa"/>
              <w:left w:w="0" w:type="dxa"/>
              <w:bottom w:w="0" w:type="dxa"/>
              <w:right w:w="0" w:type="dxa"/>
            </w:tcMar>
            <w:vAlign w:val="center"/>
          </w:tcPr>
          <w:p>
            <w:pPr>
              <w:pStyle w:val="TableContents"/>
              <w:bidi w:val="0"/>
              <w:spacing w:before="0" w:after="283"/>
              <w:jc w:val="center"/>
              <w:rPr/>
            </w:pPr>
            <w:r>
              <w:rPr/>
              <w:t xml:space="preserve">PART IV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 w:type="dxa"/>
            <w:tcBorders/>
            <w:vAlign w:val="center"/>
          </w:tcPr>
          <w:p>
            <w:pPr>
              <w:pStyle w:val="TableContents"/>
              <w:bidi w:val="0"/>
              <w:spacing w:before="0" w:after="283"/>
              <w:jc w:val="left"/>
              <w:rPr/>
            </w:pPr>
            <w:r>
              <w:rPr/>
              <w:t> </w:t>
            </w:r>
          </w:p>
        </w:tc>
        <w:tc>
          <w:tcPr>
            <w:tcW w:w="8731" w:type="dxa"/>
            <w:tcBorders/>
            <w:vAlign w:val="center"/>
          </w:tcPr>
          <w:p>
            <w:pPr>
              <w:pStyle w:val="TableContents"/>
              <w:bidi w:val="0"/>
              <w:spacing w:before="0" w:after="283"/>
              <w:jc w:val="left"/>
              <w:rPr/>
            </w:pPr>
            <w:r>
              <w:rPr/>
              <w:t>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15">
              <w:r>
                <w:rPr>
                  <w:rStyle w:val="InternetLink"/>
                  <w:b/>
                </w:rPr>
                <w:t>Item 15.</w:t>
              </w:r>
            </w:hyperlink>
            <w:r>
              <w:rPr/>
              <w:t xml:space="preserve"> </w:t>
            </w:r>
          </w:p>
        </w:tc>
        <w:tc>
          <w:tcPr>
            <w:tcW w:w="8731" w:type="dxa"/>
            <w:tcBorders/>
            <w:tcMar>
              <w:top w:w="0" w:type="dxa"/>
              <w:left w:w="0" w:type="dxa"/>
              <w:bottom w:w="0" w:type="dxa"/>
              <w:right w:w="0" w:type="dxa"/>
            </w:tcMar>
            <w:vAlign w:val="center"/>
          </w:tcPr>
          <w:p>
            <w:pPr>
              <w:pStyle w:val="TableContents"/>
              <w:bidi w:val="0"/>
              <w:spacing w:before="0" w:after="283"/>
              <w:jc w:val="both"/>
              <w:rPr/>
            </w:pPr>
            <w:hyperlink w:anchor="Item15">
              <w:r>
                <w:rPr>
                  <w:rStyle w:val="InternetLink"/>
                  <w:b/>
                </w:rPr>
                <w:t>EXHIBITS AND FINANCIAL STATEMENT SCHEDULES</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32</w:t>
            </w:r>
          </w:p>
        </w:tc>
      </w:tr>
      <w:tr>
        <w:trPr/>
        <w:tc>
          <w:tcPr>
            <w:tcW w:w="801" w:type="dxa"/>
            <w:tcBorders/>
            <w:tcMar>
              <w:top w:w="0" w:type="dxa"/>
              <w:left w:w="0" w:type="dxa"/>
              <w:bottom w:w="0" w:type="dxa"/>
              <w:right w:w="0" w:type="dxa"/>
            </w:tcMar>
            <w:vAlign w:val="center"/>
          </w:tcPr>
          <w:p>
            <w:pPr>
              <w:pStyle w:val="TableContents"/>
              <w:bidi w:val="0"/>
              <w:spacing w:before="0" w:after="283"/>
              <w:jc w:val="both"/>
              <w:rPr/>
            </w:pPr>
            <w:hyperlink w:anchor="Item_16_10-K_Summary">
              <w:r>
                <w:rPr>
                  <w:rStyle w:val="InternetLink"/>
                  <w:b/>
                </w:rPr>
                <w:t>Item 16.</w:t>
              </w:r>
            </w:hyperlink>
            <w:r>
              <w:rPr/>
              <w:t xml:space="preserve"> </w:t>
            </w:r>
          </w:p>
        </w:tc>
        <w:tc>
          <w:tcPr>
            <w:tcW w:w="8731" w:type="dxa"/>
            <w:tcBorders/>
            <w:tcMar>
              <w:top w:w="0" w:type="dxa"/>
              <w:left w:w="0" w:type="dxa"/>
              <w:bottom w:w="0" w:type="dxa"/>
              <w:right w:w="0" w:type="dxa"/>
            </w:tcMar>
            <w:vAlign w:val="center"/>
          </w:tcPr>
          <w:p>
            <w:pPr>
              <w:pStyle w:val="TableContents"/>
              <w:bidi w:val="0"/>
              <w:spacing w:before="0" w:after="283"/>
              <w:jc w:val="both"/>
              <w:rPr/>
            </w:pPr>
            <w:hyperlink w:anchor="Item_16_10-K_Summary">
              <w:r>
                <w:rPr>
                  <w:rStyle w:val="InternetLink"/>
                  <w:b/>
                </w:rPr>
                <w:t>FORM 10-K SUMMARY</w:t>
              </w:r>
            </w:hyperlink>
            <w:r>
              <w:rPr/>
              <w:t xml:space="preserve">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32</w:t>
            </w:r>
          </w:p>
        </w:tc>
      </w:tr>
    </w:tbl>
    <w:p>
      <w:pPr>
        <w:pStyle w:val="TextBody"/>
        <w:bidi w:val="0"/>
        <w:spacing w:lineRule="atLeast" w:line="270" w:before="120" w:after="283"/>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lineRule="atLeast" w:line="243" w:before="0" w:after="0"/>
        <w:jc w:val="left"/>
        <w:rPr>
          <w:rFonts w:ascii="Times New Roman" w:hAnsi="Times New Roman"/>
          <w:sz w:val="18"/>
          <w:bdr w:val="single" w:sz="2" w:space="1" w:color="000000"/>
        </w:rPr>
      </w:pPr>
      <w:r>
        <w:rPr>
          <w:rFonts w:ascii="Times New Roman" w:hAnsi="Times New Roman"/>
          <w:b/>
          <w:sz w:val="20"/>
          <w:bdr w:val="single" w:sz="2" w:space="1" w:color="000000"/>
        </w:rPr>
        <w:t>Part I – Financial Information</w:t>
      </w:r>
      <w:r>
        <w:rPr>
          <w:rFonts w:ascii="Times New Roman" w:hAnsi="Times New Roman"/>
          <w:sz w:val="18"/>
          <w:bdr w:val="single" w:sz="2" w:space="1" w:color="000000"/>
        </w:rPr>
        <w:t xml:space="preserve"> </w:t>
      </w:r>
    </w:p>
    <w:p>
      <w:pPr>
        <w:pStyle w:val="TextBody"/>
        <w:bidi w:val="0"/>
        <w:spacing w:lineRule="atLeast" w:line="243" w:before="0" w:after="0"/>
        <w:jc w:val="left"/>
        <w:rPr>
          <w:bdr w:val="single" w:sz="2" w:space="1" w:color="000000"/>
        </w:rPr>
      </w:pPr>
      <w:r>
        <w:rPr>
          <w:bdr w:val="single" w:sz="2" w:space="1" w:color="000000"/>
        </w:rPr>
        <w:t xml:space="preserve">  </w:t>
      </w:r>
    </w:p>
    <w:p>
      <w:pPr>
        <w:pStyle w:val="TextBody"/>
        <w:bidi w:val="0"/>
        <w:spacing w:before="0" w:after="0"/>
        <w:ind w:left="0" w:right="0" w:firstLine="2"/>
        <w:jc w:val="left"/>
        <w:rPr>
          <w:rFonts w:ascii="Times New Roman" w:hAnsi="Times New Roman"/>
          <w:sz w:val="18"/>
          <w:bdr w:val="single" w:sz="2" w:space="1" w:color="000000"/>
        </w:rPr>
      </w:pPr>
      <w:bookmarkStart w:id="2" w:name="Item_1_-_Business"/>
      <w:bookmarkEnd w:id="2"/>
      <w:r>
        <w:rPr>
          <w:rFonts w:ascii="Times New Roman" w:hAnsi="Times New Roman"/>
          <w:b/>
          <w:sz w:val="18"/>
          <w:u w:val="single"/>
          <w:bdr w:val="single" w:sz="2" w:space="1" w:color="000000"/>
        </w:rPr>
        <w:t>Item 1.</w:t>
      </w:r>
      <w:r>
        <w:rPr>
          <w:rFonts w:ascii="Times New Roman" w:hAnsi="Times New Roman"/>
          <w:sz w:val="18"/>
          <w:bdr w:val="single" w:sz="2" w:space="1" w:color="000000"/>
        </w:rPr>
        <w:t>  </w:t>
      </w:r>
      <w:r>
        <w:rPr>
          <w:rFonts w:ascii="Times New Roman" w:hAnsi="Times New Roman"/>
          <w:b/>
          <w:sz w:val="18"/>
          <w:bdr w:val="single" w:sz="2" w:space="1" w:color="000000"/>
        </w:rPr>
        <w:t>BUSINESS</w:t>
      </w:r>
      <w:r>
        <w:rPr>
          <w:rFonts w:ascii="Times New Roman" w:hAnsi="Times New Roman"/>
          <w:sz w:val="18"/>
          <w:bdr w:val="single" w:sz="2" w:space="1" w:color="000000"/>
        </w:rPr>
        <w:t xml:space="preserve"> </w:t>
      </w:r>
    </w:p>
    <w:p>
      <w:pPr>
        <w:pStyle w:val="TextBody"/>
        <w:bidi w:val="0"/>
        <w:spacing w:before="0" w:after="0"/>
        <w:jc w:val="both"/>
        <w:rPr>
          <w:rFonts w:ascii="Times New Roman" w:hAnsi="Times New Roman"/>
          <w:sz w:val="18"/>
          <w:bdr w:val="single" w:sz="2" w:space="1" w:color="000000"/>
        </w:rPr>
      </w:pPr>
      <w:r>
        <w:rPr>
          <w:rFonts w:ascii="Times New Roman" w:hAnsi="Times New Roman"/>
          <w:i/>
          <w:sz w:val="18"/>
          <w:bdr w:val="single" w:sz="2" w:space="1" w:color="000000"/>
        </w:rPr>
        <w:t>(In millions of dollars, except as otherwise noted)</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both"/>
        <w:rPr>
          <w:rFonts w:ascii="Times New Roman" w:hAnsi="Times New Roman"/>
          <w:sz w:val="18"/>
          <w:bdr w:val="single" w:sz="2" w:space="1" w:color="000000"/>
        </w:rPr>
      </w:pPr>
      <w:r>
        <w:rPr>
          <w:rFonts w:ascii="Times New Roman" w:hAnsi="Times New Roman"/>
          <w:b/>
          <w:sz w:val="18"/>
          <w:bdr w:val="single" w:sz="2" w:space="1" w:color="000000"/>
        </w:rPr>
        <w:t>General</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w:t>
      </w:r>
    </w:p>
    <w:p>
      <w:pPr>
        <w:pStyle w:val="TextBody"/>
        <w:bidi w:val="0"/>
        <w:spacing w:before="0" w:after="0"/>
        <w:jc w:val="both"/>
        <w:rPr>
          <w:rFonts w:ascii="Times New Roman" w:hAnsi="Times New Roman"/>
          <w:spacing w:val="0"/>
          <w:sz w:val="18"/>
          <w:bdr w:val="single" w:sz="2" w:space="1" w:color="000000"/>
        </w:rPr>
      </w:pPr>
      <w:r>
        <w:rPr>
          <w:rFonts w:ascii="Times New Roman" w:hAnsi="Times New Roman"/>
          <w:spacing w:val="0"/>
          <w:sz w:val="18"/>
          <w:bdr w:val="single" w:sz="2" w:space="1" w:color="000000"/>
        </w:rPr>
        <w:t>The Company is a leading global supplier of a diverse portfolio of innovative specialty materials comprised of organic and synthetic raw ingredients. We market our products predominantly into stable, consumer-oriented end markets for disposable and durable applications. End user examples include wipes, healthcare, adult incontinence, apparel, baby, feminine care, air filtration, and food and beverage. We also provide technical solutions in infrastructure markets. Our customers include a mix of leading global and national brands, private label, and small to mid-sized regional businesses. </w:t>
      </w:r>
    </w:p>
    <w:p>
      <w:pPr>
        <w:pStyle w:val="TextBody"/>
        <w:bidi w:val="0"/>
        <w:spacing w:before="0" w:after="0"/>
        <w:jc w:val="both"/>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On November 4, 2024 (the “Closing Date”), Treasure Holdco, Inc. (“Treasure”), which was a wholly owned subsidiary of Berry Global Group, Inc. (“Berry”), completed its merger (the “Transaction”) with the Glatfelter Corporation (“GLT” or “Glatfelter”) which concurrently changed its name to Magnera Corporation (the “Company,” “we,” or “Magnera”).  As a result, pre-Transaction Treasure shareholders received shares of Magnera representing 90% of the combined company and GLT shareholders retained 10%.  As Treasure was identified as the accounting acquirer, the prior year presentation represents standalone Treasure results with the acquisition method of accounting being applied to the assets acquired and liabilities assumed from GLT. See Note 2. Acquisition.</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Additional financial information about our segments is provided in “Management’s Discussion and Analysis of Financial Condition and Results of Operations” and the “Notes to Consolidated and Combined Financial Statements,” which are included elsewhere in this report.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b/>
          <w:sz w:val="18"/>
          <w:bdr w:val="single" w:sz="2" w:space="1" w:color="000000"/>
        </w:rPr>
      </w:pPr>
      <w:r>
        <w:rPr>
          <w:rFonts w:ascii="Times New Roman" w:hAnsi="Times New Roman"/>
          <w:b/>
          <w:sz w:val="18"/>
          <w:bdr w:val="single" w:sz="2" w:space="1" w:color="000000"/>
        </w:rPr>
        <w:t xml:space="preserve">Segment Overview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lineRule="auto" w:line="268"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The Company’s operations are organized into two operating and reportable segments: Americas and Rest of World. The structure is designed to align us with our customers, provide improved service, enable future growth initiatives and efficiency of decision making to facilitate synergy realization.</w:t>
      </w:r>
    </w:p>
    <w:p>
      <w:pPr>
        <w:pStyle w:val="TextBody"/>
        <w:bidi w:val="0"/>
        <w:spacing w:before="0" w:after="0"/>
        <w:jc w:val="both"/>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Americas</w:t>
      </w:r>
      <w:r>
        <w:rPr>
          <w:rFonts w:ascii="Times New Roman" w:hAnsi="Times New Roman"/>
          <w:sz w:val="18"/>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Americas segment is the Company's largest segment, accounting for 57% of consolidated net sales. Our Americas operations consist of 22 manufacturing facilities - 14 in the United States, 3 in Brazil, 2 in Mexico, 2 in Canada, and 1 in Colombia. The segment primarily manufactures a wide range of products and components of personal care and consumer solution products and components of products including medical garments, wipes, dryer sheets, filtration, baby diapers and adult incontinence.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Rest of World</w:t>
      </w:r>
      <w:r>
        <w:rPr>
          <w:rFonts w:ascii="Times New Roman" w:hAnsi="Times New Roman"/>
          <w:sz w:val="18"/>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Rest of World segment represents 43% of our consolidated net sales. Our Rest of World operations consist of 23 manufacturing facilities - 7 in Germany, 5 in France, 4 in United Kingdom, 2 in China, 2 in Spain, and 1 each in Italy, Netherlands, and Philippines. This segment primarily manufactures a broad collection of personal care and consumer solution products and components of products including tea bags, coffee filters, wipes, cable wrap, filtration, baby diapers and adult incontinence.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Marketing, Sales, and Competition</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We reach our customer base through a direct sales force of dedicated professionals. Our scale enables us to dedicate certain sales and marketing efforts to particular customers, when applicable, which enables us to develop expertise that we believe is valued by our customers.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major markets in which the Company sells its products are highly competitive. Areas of competition include service, innovation, quality, and price.  This competition is significant as to both the size and the number of competing firms.  Competitors include, but are not limited to, Ahlstrom, Avgol, Mativ, PFNonwovens, Freudenberg, and Fitesa.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Raw Materials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Our primary raw materials are polymer resin, wood-based fibers, and pulps. In addition, we use other materials in various manufacturing processes. While temporary industry-wide shortages of raw materials have occurred, we have historically been able to manage the supply chain disruption by working closely with our suppliers and customers.  Changes in the price of raw materials are generally passed on to customers through contractual price mechanisms over time, during contract renewals, and other means.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Patents, Trademarks and Other Intellectual Property</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We customarily seek patent and trademark protection for our products and brands while seeking to protect our proprietary know-how. While important to our business in the aggregate, sales of any one individually patented product is not considered material to any specific segment or our consolidated results.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Environment and Sustainability</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Sustainability is comprehensively embedded across our business, from how we run our manufacturing operations more efficiently to the investments we are making in sustainable solutions. With our global scale, deep industry experience, and strong capabilities, we are uniquely positioned to assist our customers in the design and development of sustainable solutions. We also work globally on continuous improvement of energy usage, water efficiency, waste reduction, recycling, and reducing our greenhouse gas emissions.</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color w:val="000000"/>
          <w:sz w:val="18"/>
          <w:bdr w:val="single" w:sz="2" w:space="1" w:color="000000"/>
        </w:rPr>
        <w:t>Human Capital and Employees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color w:val="000000"/>
          <w:sz w:val="18"/>
          <w:bdr w:val="single" w:sz="2" w:space="1" w:color="000000"/>
        </w:rPr>
        <w:t>Health and Safety</w:t>
      </w:r>
      <w:r>
        <w:rPr>
          <w:rFonts w:ascii="Times New Roman" w:hAnsi="Times New Roman"/>
          <w:sz w:val="18"/>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Safe</w:t>
      </w:r>
      <w:r>
        <w:rPr>
          <w:rFonts w:ascii="Times New Roman" w:hAnsi="Times New Roman"/>
          <w:color w:val="000000"/>
          <w:sz w:val="18"/>
          <w:bdr w:val="single" w:sz="2" w:space="1" w:color="000000"/>
        </w:rPr>
        <w:t xml:space="preserve">ty for our approximately 8,500 employees is our number one priority. We believe when it comes to employee safety, our best should always be our standard. It is through the adherence to our global environment, health, and safety principles that we have been able to identify and mitigate operational risks and drive continuous improvement.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color w:val="000000"/>
          <w:sz w:val="18"/>
          <w:bdr w:val="single" w:sz="2" w:space="1" w:color="000000"/>
        </w:rPr>
        <w:t>Talent and Development</w:t>
      </w:r>
      <w:r>
        <w:rPr>
          <w:rFonts w:ascii="Times New Roman" w:hAnsi="Times New Roman"/>
          <w:sz w:val="18"/>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We seek to attract, develop and retain talent throughout the Company. Our succession management strategy focuses on a structured succession framework and multiple years of performance. Our holistic approach to developing key managers and identifying future leaders includes challenging assignments, formal development plans and professional coaching.  </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color w:val="000000"/>
          <w:sz w:val="18"/>
          <w:bdr w:val="single" w:sz="2" w:space="1" w:color="000000"/>
        </w:rPr>
        <w:t>Employee Engagement</w:t>
      </w:r>
      <w:r>
        <w:rPr>
          <w:rFonts w:ascii="Times New Roman" w:hAnsi="Times New Roman"/>
          <w:sz w:val="18"/>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We seek to ensure that our employees are motivated to perform every day. To further that objective, our engagement approach focuses on clear communication and recognition. We communicate through regular employee meetings with business and market updates and information on production, safety, quality and other operating metrics. We have many recognition-oriented awards and conduct Company-wide engagement surveys, which have generally indicated high levels of engagement and trust in leadership.</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color w:val="000000"/>
          <w:sz w:val="18"/>
          <w:bdr w:val="single" w:sz="2" w:space="1" w:color="000000"/>
        </w:rPr>
      </w:pPr>
      <w:r>
        <w:rPr>
          <w:rFonts w:ascii="Times New Roman" w:hAnsi="Times New Roman"/>
          <w:i/>
          <w:color w:val="000000"/>
          <w:sz w:val="18"/>
          <w:bdr w:val="single" w:sz="2" w:space="1" w:color="000000"/>
        </w:rPr>
        <w:t xml:space="preserve">Inclusion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We strive to build a safe and inclusive culture where employees feel valued and treated with respect. We believe inclusion helps drive engagement, innovation and organizational growth. To date, our focus has been on providing training for our global workforce and increasing awareness about the importance of having a culture of inclusion.</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color w:val="000000"/>
          <w:sz w:val="18"/>
          <w:bdr w:val="single" w:sz="2" w:space="1" w:color="000000"/>
        </w:rPr>
        <w:t>Ethics</w:t>
      </w:r>
      <w:r>
        <w:rPr>
          <w:rFonts w:ascii="Times New Roman" w:hAnsi="Times New Roman"/>
          <w:sz w:val="18"/>
          <w:bdr w:val="single" w:sz="2" w:space="1" w:color="000000"/>
        </w:rPr>
        <w:t xml:space="preserve"> </w:t>
      </w:r>
    </w:p>
    <w:p>
      <w:pPr>
        <w:pStyle w:val="TextBody"/>
        <w:bidi w:val="0"/>
        <w:spacing w:before="0" w:after="0"/>
        <w:jc w:val="left"/>
        <w:rPr>
          <w:rFonts w:ascii="Times New Roman" w:hAnsi="Times New Roman"/>
          <w:color w:val="000000"/>
          <w:sz w:val="18"/>
          <w:bdr w:val="single" w:sz="2" w:space="1" w:color="000000"/>
        </w:rPr>
      </w:pPr>
      <w:r>
        <w:rPr>
          <w:rFonts w:ascii="Times New Roman" w:hAnsi="Times New Roman"/>
          <w:color w:val="000000"/>
          <w:sz w:val="18"/>
          <w:bdr w:val="single" w:sz="2" w:space="1" w:color="000000"/>
        </w:rPr>
        <w:t>Our employees are expected to act with integrity and we maintain a global Code of Business Conduct that is acknowledged by employees and provides the Company's framework for conducting business ethically.</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b/>
          <w:sz w:val="20"/>
          <w:bdr w:val="single" w:sz="2" w:space="1" w:color="000000"/>
        </w:rPr>
      </w:pPr>
      <w:r>
        <w:rPr>
          <w:rFonts w:ascii="Times New Roman" w:hAnsi="Times New Roman"/>
          <w:b/>
          <w:sz w:val="20"/>
          <w:bdr w:val="single" w:sz="2" w:space="1" w:color="000000"/>
        </w:rPr>
        <w:t>Available Information</w:t>
      </w:r>
    </w:p>
    <w:p>
      <w:pPr>
        <w:pStyle w:val="TextBody"/>
        <w:bidi w:val="0"/>
        <w:spacing w:before="0" w:after="0"/>
        <w:ind w:left="0" w:right="0" w:hanging="0"/>
        <w:jc w:val="both"/>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We make available, free of charge, our annual reports on Form 10-K, quarterly reports on Form 10-Q, current reports on Form 8-K and amendments, if any, to those reports through our internet website as soon as reasonably practicable after they have been electronically filed with the SEC. Our internet address is www.magnera.com.  The information contained on our website is not being incorporated herein.</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bookmarkStart w:id="3" w:name="Item_1A_Risk_Factors"/>
      <w:bookmarkEnd w:id="3"/>
      <w:r>
        <w:rPr>
          <w:rFonts w:ascii="Times New Roman" w:hAnsi="Times New Roman"/>
          <w:b/>
          <w:sz w:val="18"/>
          <w:u w:val="single"/>
          <w:bdr w:val="single" w:sz="2" w:space="1" w:color="000000"/>
        </w:rPr>
        <w:t>Item 1A.</w:t>
      </w:r>
      <w:r>
        <w:rPr>
          <w:rFonts w:ascii="Times New Roman" w:hAnsi="Times New Roman"/>
          <w:sz w:val="18"/>
          <w:bdr w:val="single" w:sz="2" w:space="1" w:color="000000"/>
        </w:rPr>
        <w:t>  </w:t>
      </w:r>
      <w:r>
        <w:rPr>
          <w:rFonts w:ascii="Times New Roman" w:hAnsi="Times New Roman"/>
          <w:b/>
          <w:sz w:val="18"/>
          <w:bdr w:val="single" w:sz="2" w:space="1" w:color="000000"/>
        </w:rPr>
        <w:t>RISK FACTORS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color w:val="000000"/>
          <w:sz w:val="18"/>
          <w:bdr w:val="single" w:sz="2" w:space="1" w:color="000000"/>
        </w:rPr>
        <w:t>Operational Risks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b/>
          <w:i/>
          <w:color w:val="000000"/>
          <w:sz w:val="18"/>
          <w:bdr w:val="single" w:sz="2" w:space="1" w:color="000000"/>
        </w:rPr>
      </w:pPr>
      <w:r>
        <w:rPr>
          <w:rFonts w:ascii="Times New Roman" w:hAnsi="Times New Roman"/>
          <w:b/>
          <w:i/>
          <w:color w:val="000000"/>
          <w:sz w:val="18"/>
          <w:bdr w:val="single" w:sz="2" w:space="1" w:color="000000"/>
        </w:rPr>
        <w:t xml:space="preserve">Global economic conditions, including inflation and supply chain disruptions, may negatively impact our business operations and financial results.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Challenging current and future global economic conditions, including inflation and supply chain disruptions may negatively impact our business operations and financial results. Current global economic challenges, including inflation and supply chain constraints may put pressure on our business.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When challenging economic conditions exist, our customers may delay, decrease or cancel purchases from us, and may also delay payment or fail to pay us altogether. Suppliers may have difficulty filling our orders and distributors may have difficulty getting our products to customers, which may affect our ability to meet customer demands, and result in a loss of business. Weakened global economic conditions may also result in unfavorable changes in our product prices, product mix and profit margins. Although we take measures to mitigate the impact of inflation, including through pricing actions and productivity programs, if these actions are not effective our cash flow, financial condition, and results of operations could be adversely impacted. In addition, there could be a time lag between recognizing the benefit of our mitigating actions and when the inflation occurs and there is no assurance that our mitigating measures will be able to fully mitigate the impact of inflation.</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Political volatility may also contribute to the general economic conditions, changing fiscal policy and regulatory uncertainty in regions in which we operate.  Future unrest and changing policies could result in an adverse impact to our financial condition. Political developments can also disrupt the markets we serve and the tax jurisdictions in which we operate and may affect our busin</w:t>
      </w:r>
      <w:r>
        <w:rPr>
          <w:rFonts w:ascii="Times New Roman" w:hAnsi="Times New Roman"/>
          <w:sz w:val="18"/>
          <w:bdr w:val="single" w:sz="2" w:space="1" w:color="000000"/>
        </w:rPr>
        <w:t xml:space="preserve">ess, financial condition and results of operations.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i/>
          <w:sz w:val="18"/>
          <w:bdr w:val="single" w:sz="2" w:space="1" w:color="000000"/>
        </w:rPr>
        <w:t>Raw material and energy inflation or shortage of availability could harm our financial condition and results of operations.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Raw materials and energy are subject to price fluct</w:t>
      </w:r>
      <w:r>
        <w:rPr>
          <w:rFonts w:ascii="Times New Roman" w:hAnsi="Times New Roman"/>
          <w:color w:val="000000"/>
          <w:sz w:val="18"/>
          <w:bdr w:val="single" w:sz="2" w:space="1" w:color="000000"/>
        </w:rPr>
        <w:t>uations and availability, due to external factors, such as regional and global conflict, weather-related events, or other supply chain constraints and challenges, which are beyond our control.  Temporary industry-wide shortages of raw materials have occurred in the past, which can lead to increased raw material price volatility.  Additionally, our suppliers could experience cost increases to produce raw material due to increases in carbon pricing.  Historically, we have been able to manage the impact of higher costs by increasing our selling prices. However, raw material or energy inflation or our inability to timely pass-through increased costs to our customers may adversely affect our busin</w:t>
      </w:r>
      <w:r>
        <w:rPr>
          <w:rFonts w:ascii="Times New Roman" w:hAnsi="Times New Roman"/>
          <w:sz w:val="18"/>
          <w:bdr w:val="single" w:sz="2" w:space="1" w:color="000000"/>
        </w:rPr>
        <w:t xml:space="preserve">ess, financial condition and results of operations.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i/>
          <w:sz w:val="18"/>
          <w:bdr w:val="single" w:sz="2" w:space="1" w:color="000000"/>
        </w:rPr>
        <w:t>Weather-related events could negatively impact our results of operations.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Weather-related events could adversely impact our business and the business of our customers, suppliers, and other business partners.  Such events may have a physical impact on our facilities, inventory, suppliers, and equipment and any unplanned downtime at any of our facilities could result in unabsorbed costs that could negatively impact our results of operations for the period in which it experienced the downtime.  Longer-term climate change patterns could alter future customer demand, impact supply chains and increase operating costs.  However, any such changes are uncertain and we cannot predict the net impact from such events.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sz w:val="18"/>
          <w:bdr w:val="single" w:sz="2" w:space="1" w:color="000000"/>
        </w:rPr>
      </w:pPr>
      <w:r>
        <w:rPr>
          <w:rFonts w:ascii="Times New Roman" w:hAnsi="Times New Roman"/>
          <w:b/>
          <w:i/>
          <w:sz w:val="18"/>
          <w:bdr w:val="single" w:sz="2" w:space="1" w:color="000000"/>
        </w:rPr>
        <w:t>We may not be able to compete successfully and our customers may not continue to purchase our products.</w:t>
      </w:r>
      <w:r>
        <w:rPr>
          <w:rFonts w:ascii="Times New Roman" w:hAnsi="Times New Roman"/>
          <w:i/>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We compete with multiple companies in each of our product lines on the basis of a number of considerations, including price, service, quality, product characteristics and delivery timeliness.  Our competitors may have financial and other resources that are substantially greater than ours and making them better able than us to withstand higher costs.  Competition and product preference changes could result in our products losing market share or having to reduce our prices, either of which could have a material adverse effect on our business, financial condition and results of operations.  In addition, since we do not have long-term arrangements with many of our customers, these competitive factors could cause our customers to shift suppliers quickly.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sz w:val="18"/>
          <w:bdr w:val="single" w:sz="2" w:space="1" w:color="000000"/>
        </w:rPr>
      </w:pPr>
      <w:r>
        <w:rPr>
          <w:rFonts w:ascii="Times New Roman" w:hAnsi="Times New Roman"/>
          <w:b/>
          <w:i/>
          <w:sz w:val="18"/>
          <w:bdr w:val="single" w:sz="2" w:space="1" w:color="000000"/>
        </w:rPr>
        <w:t>We may pursue and execute acquisitions, mergers or divestitures, which could adversely affect our business.</w:t>
      </w:r>
      <w:r>
        <w:rPr>
          <w:rFonts w:ascii="Times New Roman" w:hAnsi="Times New Roman"/>
          <w:i/>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As part of our growth strategy, we consider transactions that either complement or expand our existing business and create economic value.  These transactions involve special risks, including the potential assumption of unanticipated liabilities and contingencies as well as difficulties in integrating acquired businesses or carving-out divested businesses, which may result in substantial costs, delays or other problems that could adversely affect our business, financial condition and results of operations.  Furthermore, we may not realize all of the synergies we expect to achieve from our current strategic initiatives due to a variety of risks.  If we are unable to achieve the benefits that we expect to achieve from our strategic initiatives, it could adversely affect our business, financial condition and results of operations.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sz w:val="18"/>
          <w:bdr w:val="single" w:sz="2" w:space="1" w:color="000000"/>
        </w:rPr>
      </w:pPr>
      <w:r>
        <w:rPr>
          <w:rFonts w:ascii="Times New Roman" w:hAnsi="Times New Roman"/>
          <w:b/>
          <w:i/>
          <w:sz w:val="18"/>
          <w:bdr w:val="single" w:sz="2" w:space="1" w:color="000000"/>
        </w:rPr>
        <w:t>In the event of a catastrophic loss of one of our key manufacturing facilities, our business would be adversely affected.</w:t>
      </w:r>
      <w:r>
        <w:rPr>
          <w:rFonts w:ascii="Times New Roman" w:hAnsi="Times New Roman"/>
          <w:i/>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While we maintain insurance covering our facilities, including business interruption insurance, a catastrophic loss of the use of all or a portion of one of our key manufacturing facilities due to accident, labor issues, weather conditions, natural disaster, pandemic or otherwise, whether short- or long-term, could result in future losses.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sz w:val="18"/>
          <w:bdr w:val="single" w:sz="2" w:space="1" w:color="000000"/>
        </w:rPr>
      </w:pPr>
      <w:r>
        <w:rPr>
          <w:rFonts w:ascii="Times New Roman" w:hAnsi="Times New Roman"/>
          <w:b/>
          <w:i/>
          <w:sz w:val="18"/>
          <w:bdr w:val="single" w:sz="2" w:space="1" w:color="000000"/>
        </w:rPr>
        <w:t>Employee retention or labor cost inflation could disrupt our business.</w:t>
      </w:r>
      <w:r>
        <w:rPr>
          <w:rFonts w:ascii="Times New Roman" w:hAnsi="Times New Roman"/>
          <w:i/>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Our relations with employees under collective bargaining agreements remain satisfactory and there have been no significant work stoppages or other labor disputes during the past four years.  However, we may not be able to maintain constructive relationships with labor unions or trade councils and may not be able to successfully negotiate new collective bargaining agreements on satisfactory terms in the future.</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Labor is subject to cost inflation, availability and workforce participation rates, all of which could be impacted by factors beyond our control.  As a result, there can be no assurance we will be able to recruit, train, assimilate, motivate and retain employees in the future.  The loss of a substantial number of these employees or a prolonged labor dispute could disrupt our business and result in future losses.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sz w:val="18"/>
          <w:bdr w:val="single" w:sz="2" w:space="1" w:color="000000"/>
        </w:rPr>
      </w:pPr>
      <w:r>
        <w:rPr>
          <w:rFonts w:ascii="Times New Roman" w:hAnsi="Times New Roman"/>
          <w:b/>
          <w:i/>
          <w:sz w:val="18"/>
          <w:bdr w:val="single" w:sz="2" w:space="1" w:color="000000"/>
        </w:rPr>
        <w:t>We depend on information technology systems and infrastructure to operate our business, and increased cybersecurity threats, system inadequacies, and failures could disrupt our operations, compromise customer, employee, vendor and other data which could negatively affect our business.</w:t>
      </w:r>
      <w:r>
        <w:rPr>
          <w:rFonts w:ascii="Times New Roman" w:hAnsi="Times New Roman"/>
          <w:i/>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We rely on the efficient and uninterrupted operation of information technology systems and networks.  These systems and networks are vulnerable to increased threats and more sophisticated computer crime, energy interruptions, telecommunications failures, breakdowns, natural disasters, terrorism, war, computer malware or other malicious intrusions.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We also maintain and have access to data and information that is subject to privacy and security laws, regulations, and customer controls.  Despite our efforts to protect such information, breaches, or misplaced or lost data and programming damages could result in a negative impact on the business.  While we have not had material system interruptions historically associated with these risks, there can be no assurance from future interruptions that could result in future losses.</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NewRoman;Times New Roman;Times;Baskerville;Georgia;serif" w:hAnsi="TimesNewRoman;Times New Roman;Times;Baskerville;Georgia;serif"/>
          <w:sz w:val="18"/>
          <w:bdr w:val="single" w:sz="2" w:space="1" w:color="000000"/>
        </w:rPr>
      </w:pPr>
      <w:r>
        <w:rPr>
          <w:rFonts w:ascii="TimesNewRoman;Times New Roman;Times;Baskerville;Georgia;serif" w:hAnsi="TimesNewRoman;Times New Roman;Times;Baskerville;Georgia;serif"/>
          <w:sz w:val="18"/>
          <w:bdr w:val="single" w:sz="2" w:space="1" w:color="000000"/>
        </w:rPr>
        <w:t>Attempted cyber-attacks and other cyber incidents are occurring more frequently, are constantly evolving in nature, are becoming more sophisticated and disruptive to business operations, and are being made by groups and individuals with a wide range of motives and expertise. There can be no assurance that our security measures and controls will be effective against the risks we face from cyber-attacks, including from: computer hackers; foreign governments and cyber terrorists; malicious code (such as malware, viruses and ransomware); an intentional or unintentional personnel action; a natural disaster; a hardware or software corruption, failure or error; a telecommunications system failure; a service provider failure or error; or any one or more other causes of a security breach, failure or disruption. The increased prevalence and sophistication of Artificial Intelligence (AI) tools, such as AI-enabled malware, could increase the risks of cyber-attacks to our systems and to those of our third-party service providers.</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Financial and Legal Risks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both"/>
        <w:rPr>
          <w:rFonts w:ascii="Times New Roman" w:hAnsi="Times New Roman"/>
          <w:i/>
          <w:sz w:val="18"/>
          <w:bdr w:val="single" w:sz="2" w:space="1" w:color="000000"/>
        </w:rPr>
      </w:pPr>
      <w:r>
        <w:rPr>
          <w:rFonts w:ascii="Times New Roman" w:hAnsi="Times New Roman"/>
          <w:b/>
          <w:i/>
          <w:sz w:val="18"/>
          <w:bdr w:val="single" w:sz="2" w:space="1" w:color="000000"/>
        </w:rPr>
        <w:t>Goodwill and other intangibles represent a significant amount of our net worth, and a future write-off could result in lower reported net income and a reduction of our net worth.</w:t>
      </w:r>
      <w:r>
        <w:rPr>
          <w:rFonts w:ascii="Times New Roman" w:hAnsi="Times New Roman"/>
          <w:i/>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We have a substantial amount of goodwill.  Valuation impacts from market multiples, cost of capital, expected cash flows, or other external factors, may adversely affect our business and cause our goodwill to be impaired, resulting in a non-cash charge against results of operations to write off goodwill or indefinite lived intangible assets for the amount of impairment.  If a future write-off is required, the charge could result in significant losses.</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both"/>
        <w:rPr>
          <w:rFonts w:ascii="Times New Roman" w:hAnsi="Times New Roman"/>
          <w:i/>
          <w:sz w:val="24"/>
          <w:bdr w:val="single" w:sz="2" w:space="1" w:color="000000"/>
        </w:rPr>
      </w:pPr>
      <w:r>
        <w:rPr>
          <w:rFonts w:ascii="Times New Roman" w:hAnsi="Times New Roman"/>
          <w:b/>
          <w:i/>
          <w:sz w:val="18"/>
          <w:bdr w:val="single" w:sz="2" w:space="1" w:color="000000"/>
        </w:rPr>
        <w:t>Transaction i</w:t>
      </w:r>
      <w:r>
        <w:rPr>
          <w:rFonts w:ascii="Times New Roman" w:hAnsi="Times New Roman"/>
          <w:b w:val="false"/>
          <w:i/>
          <w:sz w:val="20"/>
          <w:bdr w:val="single" w:sz="2" w:space="1" w:color="000000"/>
        </w:rPr>
        <w:t xml:space="preserve">ntegration and IT </w:t>
      </w:r>
      <w:r>
        <w:rPr>
          <w:rFonts w:ascii="Times New Roman" w:hAnsi="Times New Roman"/>
          <w:b/>
          <w:i/>
          <w:sz w:val="18"/>
          <w:bdr w:val="single" w:sz="2" w:space="1" w:color="000000"/>
        </w:rPr>
        <w:t>s</w:t>
      </w:r>
      <w:r>
        <w:rPr>
          <w:rFonts w:ascii="Times New Roman" w:hAnsi="Times New Roman"/>
          <w:b w:val="false"/>
          <w:i/>
          <w:sz w:val="20"/>
          <w:bdr w:val="single" w:sz="2" w:space="1" w:color="000000"/>
        </w:rPr>
        <w:t>ystems</w:t>
      </w:r>
      <w:r>
        <w:rPr>
          <w:rFonts w:ascii="Times New Roman" w:hAnsi="Times New Roman"/>
          <w:b/>
          <w:i/>
          <w:sz w:val="18"/>
          <w:bdr w:val="single" w:sz="2" w:space="1" w:color="000000"/>
        </w:rPr>
        <w:t xml:space="preserve"> may adversely affect our ability to accurately report financial results. </w:t>
      </w:r>
    </w:p>
    <w:p>
      <w:pPr>
        <w:pStyle w:val="TextBody"/>
        <w:bidi w:val="0"/>
        <w:spacing w:before="0" w:after="0"/>
        <w:ind w:left="0" w:right="0" w:hanging="0"/>
        <w:jc w:val="both"/>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We have identified material weaknesses in our internal control over financial reporting related to the Transaction, including </w:t>
      </w:r>
      <w:r>
        <w:rPr>
          <w:rFonts w:ascii="Times New Roman" w:hAnsi="Times New Roman"/>
          <w:spacing w:val="0"/>
          <w:sz w:val="18"/>
          <w:bdr w:val="single" w:sz="2" w:space="1" w:color="000000"/>
        </w:rPr>
        <w:t>information technology general controls related to certain legacy Berry U.S. IT systems, which we continue to rely on through the integration period, level of observable control documentation, and the </w:t>
      </w:r>
      <w:r>
        <w:rPr>
          <w:rFonts w:ascii="Times New Roman" w:hAnsi="Times New Roman"/>
          <w:sz w:val="18"/>
          <w:bdr w:val="single" w:sz="2" w:space="1" w:color="000000"/>
        </w:rPr>
        <w:t>evaluation of the realizability of deferred tax assets. A material weakness is a deficiency, or combination of deficiencies, in internal control over financial reporting that presents a reasonable possibility that a material misstatement of our financial statements would not be prevented or detected on a timely basis.</w:t>
      </w:r>
    </w:p>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While we are implementing remediation measures, including migrating IT platforms, standardizing control procedures, and enhanced oversight, we cannot be certain that these measures will fully mitigate the risk or prevent potential errors in our financial statements. Any future misstatements or delays in financial reporting could adversely affect our results of operations, our ability to meet reporting deadlines, or investor confidence in our financial reporting.</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b/>
          <w:i/>
          <w:sz w:val="18"/>
          <w:bdr w:val="single" w:sz="2" w:space="1" w:color="000000"/>
        </w:rPr>
      </w:pPr>
      <w:r>
        <w:rPr>
          <w:rFonts w:ascii="Times New Roman" w:hAnsi="Times New Roman"/>
          <w:b/>
          <w:i/>
          <w:sz w:val="18"/>
          <w:bdr w:val="single" w:sz="2" w:space="1" w:color="000000"/>
        </w:rPr>
        <w:t xml:space="preserve">Our international operations pose risks to our business that may not be present with our domestic operations.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We are subject to foreign exchange rate risk, both transactional and translational, which may negatively affect our financial performance. </w:t>
      </w:r>
      <w:r>
        <w:rPr>
          <w:rFonts w:ascii="Times New Roman" w:hAnsi="Times New Roman"/>
          <w:color w:val="000000"/>
          <w:sz w:val="18"/>
          <w:bdr w:val="single" w:sz="2" w:space="1" w:color="000000"/>
        </w:rPr>
        <w:t>Exchange rates between transactional currencies may change rapidly due to a variety of factors.  </w:t>
      </w:r>
      <w:r>
        <w:rPr>
          <w:rFonts w:ascii="Times New Roman" w:hAnsi="Times New Roman"/>
          <w:sz w:val="18"/>
          <w:bdr w:val="single" w:sz="2" w:space="1" w:color="000000"/>
        </w:rPr>
        <w:t xml:space="preserve">Translational foreign exchange exposures result from exchange rate fluctuations in the conversion of entity functional currencies to U.S. dollars, our reporting currency, and may affect the reported value of our assets and liabilities and our income and expenses. In particular, our translational exposure may be impacted by movements in the exchange rate of the euro, Argentine peso, or the Brazilian real against the U.S. dollar.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Foreign operations are also subject to certain risks that are unique to doing business in foreign countries including shipping delays and supply chain challenges, disruption of energy, new or increasing tariffs, changes in applicable laws, including assessments of income and non-income related taxes, reduced protection of intellectual property, inability to effectively repatriate cash to the U.S. effectively, and regulatory policies and various trade restrictions, including potential changes to export taxes or countervailing and anti-dumping duties for exported products from these countries. Any of these risks could disrupt our business and result in significant losses. We are also subject to the Foreign Corrupt Practices Act and other anti-bribery and anti-corruption laws that generally bar bribes or unreasonable gifts to foreign governments or officials. We have implemented safeguards, training and policies to discourage these practices by our employees and agents. However, our existing safeguards, training and policies to assure compliance and any future improvements may prove to be less than effective and our employees or agents may engage in conduct for which we might be held responsible. If employees violate our policies, we may be subject to regulatory sanctions. Violations of these laws or regulations could result in sanctions including fines, debarment from export privileges and penalties and could adversely affect our business, financial condition and results of operations.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sz w:val="18"/>
          <w:bdr w:val="single" w:sz="2" w:space="1" w:color="000000"/>
        </w:rPr>
      </w:pPr>
      <w:r>
        <w:rPr>
          <w:rFonts w:ascii="Times New Roman" w:hAnsi="Times New Roman"/>
          <w:b/>
          <w:i/>
          <w:sz w:val="18"/>
          <w:bdr w:val="single" w:sz="2" w:space="1" w:color="000000"/>
        </w:rPr>
        <w:t>Current and future environmental and other governmental requirements could adversely affect our financial condition and our ability to conduct our business.</w:t>
      </w:r>
      <w:r>
        <w:rPr>
          <w:rFonts w:ascii="Times New Roman" w:hAnsi="Times New Roman"/>
          <w:i/>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While we have not been required historically to make significant capital expenditures in order to comply with applicable environmental laws and regulations, we cannot predict our future capital expenditure requirements because of continually changing compliance standards and environmental technology.  Furthermore, violations or contaminated sites that we do not know about (including contamination caused by prior owners and operators of such sites or newly discovered information) could result in additional compliance or remediation costs or other liabilities.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In addition, federal, state, local, and foreign governments could enact laws or regulations concerning environmental matters, such as greenhouse gas emissions, that increase the cost of producing, or otherwise adversely affect the demand for, packaging products.  </w:t>
      </w:r>
      <w:r>
        <w:rPr>
          <w:rFonts w:ascii="Times New Roman" w:hAnsi="Times New Roman"/>
          <w:color w:val="000000"/>
          <w:sz w:val="18"/>
          <w:bdr w:val="single" w:sz="2" w:space="1" w:color="000000"/>
        </w:rPr>
        <w:t>Additionally, several governmental bodies in jurisdictions where we operate have introduced, or are contemplating introducing, regulatory change to address the potential impacts of climate change and global warming, which may have adverse impacts on our operations or financial results.  </w:t>
      </w:r>
      <w:r>
        <w:rPr>
          <w:rFonts w:ascii="Times New Roman" w:hAnsi="Times New Roman"/>
          <w:sz w:val="18"/>
          <w:bdr w:val="single" w:sz="2" w:space="1" w:color="000000"/>
        </w:rPr>
        <w:t xml:space="preserve">We believe that any such laws promulgated to date have not had a material adverse effect on us, as we have historically been able to manage the impact of higher costs by increasing our selling prices.  However, there can be no assurance that future legislation or regulation would not have a material adverse effect on us.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sz w:val="18"/>
          <w:bdr w:val="single" w:sz="2" w:space="1" w:color="000000"/>
        </w:rPr>
      </w:pPr>
      <w:r>
        <w:rPr>
          <w:rFonts w:ascii="Times New Roman" w:hAnsi="Times New Roman"/>
          <w:b/>
          <w:i/>
          <w:sz w:val="18"/>
          <w:bdr w:val="single" w:sz="2" w:space="1" w:color="000000"/>
        </w:rPr>
        <w:t>Changes in tax laws or changes in our geographic mix of earnings could have a material impact on our financial condition and results of operation.</w:t>
      </w:r>
      <w:r>
        <w:rPr>
          <w:rFonts w:ascii="Times New Roman" w:hAnsi="Times New Roman"/>
          <w:i/>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We are subject to income and other taxes in the many jurisdictions in which we operate. Tax laws and regulations are complex and the determination of our global provision for income taxes and current and deferred tax assets and liabilities requires judgment and estimation. We are subject to routine examinations of our income tax returns, and tax authorities may disagree with our tax positions and assess additional tax. Our future income taxes could also be negatively impacted by our mix of earnings in the jurisdictions in which we operate being different than anticipated given differences in statutory tax rates. In addition, tax policy efforts to raise global corporate tax rates could adversely impact our tax rate and subsequent tax expense.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6</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b/>
          <w:i/>
          <w:sz w:val="18"/>
          <w:bdr w:val="single" w:sz="2" w:space="1" w:color="000000"/>
        </w:rPr>
      </w:pPr>
      <w:r>
        <w:rPr>
          <w:rFonts w:ascii="Times New Roman" w:hAnsi="Times New Roman"/>
          <w:b/>
          <w:i/>
          <w:sz w:val="18"/>
          <w:bdr w:val="single" w:sz="2" w:space="1" w:color="000000"/>
        </w:rPr>
        <w:t xml:space="preserve">We may not be successful in protecting our intellectual property rights, including our unpatented proprietary know-how and trade secrets, or in avoiding claims that we infringed on the intellectual property rights of others.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In addition to relying on patent and trademark rights, we rely on unpatented proprietary know-how and trade secrets, and employ various methods, including confidentiality agreements with employees and consultants, customers and suppliers to protect our know-how and trade secrets. However, these methods and our patents and trademarks may not afford complete protection and there can be no assurance that others will not independently develop the know-how and trade secrets or develop better production methods than us. Further, we may not be able to deter current and former employees, contractors and other parties from breaching agreements and misappropriating proprietary information and it is possible that third parties may copy or otherwise obtain and use our information and proprietary technology without authorization or otherwise infringe on our intellectual property rights. Furthermore, no assurance can be given that we will not be subject to claims asserting the infringement of the intellectual property rights of third parties seeking damages, the payment of royalties or licensing fees and/or injunctions against the sale of our products. Any such litigation could be protracted and costly and could result in significant losses.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sz w:val="18"/>
          <w:bdr w:val="single" w:sz="2" w:space="1" w:color="000000"/>
        </w:rPr>
      </w:pPr>
      <w:r>
        <w:rPr>
          <w:rFonts w:ascii="Times New Roman" w:hAnsi="Times New Roman"/>
          <w:b/>
          <w:i/>
          <w:sz w:val="18"/>
          <w:bdr w:val="single" w:sz="2" w:space="1" w:color="000000"/>
        </w:rPr>
        <w:t>We may be subject to litigation and regulatory investigations and proceedings, including product liability claims, that could adversely affect our business operations and financial performance.</w:t>
      </w:r>
      <w:r>
        <w:rPr>
          <w:rFonts w:ascii="Times New Roman" w:hAnsi="Times New Roman"/>
          <w:i/>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In the ordinary course of our business, we are involved in legal proceedings, including product liability claims, which may lead to financial or reputational damages.  See Note 5. Commitments, Leases and Contingencies.  We may also be subject to inquiries, inspections, investigations, and proceedings by relevant regulatory and other governmental agencies.  Given our global footprint, we are exposed to more uncertainty regarding the regulatory environment.  The timing of the final resolutions to lawsuits, regulatory inquiries, and governmental and other legal proceedings is typically uncertain, and any such proceedings or claims, regardless of merit, could be time consuming and expensive to defend and could divert management’s attention and resources.  The possible outcomes of these proceedings could include adverse judgments, settlements, injunctions, fines, penalties, or other results adverse to us that could harm our business, financial condition, results of operations and reputation and result in significant losses.  Even if we are successful in defending ourselves against these actions, the costs of such defense may be significant to us.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bookmarkStart w:id="4" w:name="Item1BUNRESOLVEDSTAFFCOMM"/>
      <w:bookmarkEnd w:id="4"/>
      <w:r>
        <w:rPr>
          <w:rFonts w:ascii="Times New Roman" w:hAnsi="Times New Roman"/>
          <w:b/>
          <w:sz w:val="18"/>
          <w:u w:val="single"/>
          <w:bdr w:val="single" w:sz="2" w:space="1" w:color="000000"/>
        </w:rPr>
        <w:t>Item 1B.</w:t>
      </w:r>
      <w:r>
        <w:rPr>
          <w:rFonts w:ascii="Times New Roman" w:hAnsi="Times New Roman"/>
          <w:sz w:val="18"/>
          <w:bdr w:val="single" w:sz="2" w:space="1" w:color="000000"/>
        </w:rPr>
        <w:t>  </w:t>
      </w:r>
      <w:r>
        <w:rPr>
          <w:rFonts w:ascii="Times New Roman" w:hAnsi="Times New Roman"/>
          <w:b/>
          <w:sz w:val="18"/>
          <w:bdr w:val="single" w:sz="2" w:space="1" w:color="000000"/>
        </w:rPr>
        <w:t>UNRESOLVED STAFF COMMENTS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both"/>
        <w:rPr>
          <w:rFonts w:ascii="Times New Roman" w:hAnsi="Times New Roman"/>
          <w:sz w:val="18"/>
          <w:bdr w:val="single" w:sz="2" w:space="1" w:color="000000"/>
        </w:rPr>
      </w:pPr>
      <w:r>
        <w:rPr>
          <w:rFonts w:ascii="Times New Roman" w:hAnsi="Times New Roman"/>
          <w:sz w:val="18"/>
          <w:bdr w:val="single" w:sz="2" w:space="1" w:color="000000"/>
        </w:rPr>
        <w:t xml:space="preserve">None.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bookmarkStart w:id="5" w:name="Item1C"/>
      <w:bookmarkEnd w:id="5"/>
      <w:r>
        <w:rPr>
          <w:rFonts w:ascii="Times New Roman" w:hAnsi="Times New Roman"/>
          <w:b/>
          <w:sz w:val="18"/>
          <w:u w:val="single"/>
          <w:bdr w:val="single" w:sz="2" w:space="1" w:color="000000"/>
        </w:rPr>
        <w:t>Item 1C.</w:t>
      </w:r>
      <w:r>
        <w:rPr>
          <w:rFonts w:ascii="Times New Roman" w:hAnsi="Times New Roman"/>
          <w:sz w:val="18"/>
          <w:bdr w:val="single" w:sz="2" w:space="1" w:color="000000"/>
        </w:rPr>
        <w:t>  </w:t>
      </w:r>
      <w:r>
        <w:rPr>
          <w:rFonts w:ascii="Times New Roman" w:hAnsi="Times New Roman"/>
          <w:b/>
          <w:sz w:val="18"/>
          <w:bdr w:val="single" w:sz="2" w:space="1" w:color="000000"/>
        </w:rPr>
        <w:t>CYBERSECURITY</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Governance</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bdr w:val="single" w:sz="2" w:space="1" w:color="000000"/>
        </w:rPr>
      </w:pPr>
      <w:r>
        <w:rPr>
          <w:bdr w:val="single" w:sz="2" w:space="1" w:color="000000"/>
        </w:rPr>
        <w:t> </w:t>
      </w:r>
      <w:r>
        <w:rPr>
          <w:rFonts w:ascii="Times New Roman" w:hAnsi="Times New Roman"/>
          <w:sz w:val="18"/>
          <w:bdr w:val="single" w:sz="2" w:space="1" w:color="000000"/>
        </w:rPr>
        <w:t xml:space="preserve">Our Chief Information Officer (CIO) has over 30 years of experience in cybersecurity and has primary management oversight of the Company’s cybersecurity and cyber risk management activities. The CIO administers our cyber risk assessments, oversees ongoing risk management processes, and regularly reports to the Audit Committee. During fiscal 2025, the Audit Committee received regular briefings from the CIO on cybersecurity matters, including updates on current and emerging threats, progress on information security initiatives, assessments of the Company’s cybersecurity program, and the results of internal and third-party evaluations.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Risk Management and Strategy</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Risk Assessment</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Global cybersecurity threats and targeted attacks are an evolving risk to data, infrastructure, and overall operations.  These risks are addressed through a comprehensive, cross-functional approach that is focused on preserving the confidentiality, integrity and availability of the information that we collect and store by identifying, preventing and mitigating cyber security threats and effectively responding to cybersecurity incidents when they occur.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Cybersecurity Assessments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rPr>
        <w:t>We engage third parties to perform assessments of our cybersecurity programs, including audits and independent reviews of our information security control environment and operating effectiveness. The results of such assessments, audits and reviews are reported to the Audit Committee and we adjust our cybersecurity policies, standards, processes and practices as necessary based on the information provided by these assessments, audits and reviews. Targeted security assessments were conducted and penetration tests throughout the year by internal teams as well as through engagement with third party</w:t>
      </w:r>
      <w:r>
        <w:rPr>
          <w:rFonts w:ascii="Times New Roman" w:hAnsi="Times New Roman"/>
          <w:sz w:val="18"/>
          <w:bdr w:val="single" w:sz="2" w:space="1" w:color="000000"/>
        </w:rPr>
        <w:t xml:space="preserve"> service providers, including information security maturity assessments, audits and independent reviews of our information security control environment and operating effectiveness.</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Effects and Impacts of Cybersecurity Risks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As of the date of this report, we have not identified any risks from known cybersecurity threats, including any prior cybersecurity incidents, that have materially affected or are reasonably likely to materially affect us, including our business strategy, results of operations, or financial condition. (See Item 1A. Risk Factors).</w:t>
      </w:r>
    </w:p>
    <w:p>
      <w:pPr>
        <w:pStyle w:val="TextBody"/>
        <w:bidi w:val="0"/>
        <w:spacing w:before="0" w:after="0"/>
        <w:jc w:val="left"/>
        <w:rPr>
          <w:bdr w:val="single" w:sz="2" w:space="1" w:color="000000"/>
        </w:rPr>
      </w:pPr>
      <w:r>
        <w:rPr>
          <w:bdr w:val="single" w:sz="2" w:space="1" w:color="000000"/>
        </w:rPr>
        <w:t> </w:t>
      </w:r>
      <w:bookmarkStart w:id="6" w:name="Item2PROPERTIES"/>
      <w:bookmarkEnd w:id="6"/>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7</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u w:val="single"/>
          <w:bdr w:val="single" w:sz="2" w:space="1" w:color="000000"/>
        </w:rPr>
        <w:t>Item 2.</w:t>
      </w:r>
      <w:r>
        <w:rPr>
          <w:rFonts w:ascii="Times New Roman" w:hAnsi="Times New Roman"/>
          <w:sz w:val="18"/>
          <w:bdr w:val="single" w:sz="2" w:space="1" w:color="000000"/>
        </w:rPr>
        <w:t>  </w:t>
      </w:r>
      <w:r>
        <w:rPr>
          <w:rFonts w:ascii="Times New Roman" w:hAnsi="Times New Roman"/>
          <w:b/>
          <w:sz w:val="18"/>
          <w:bdr w:val="single" w:sz="2" w:space="1" w:color="000000"/>
        </w:rPr>
        <w:t>PROPERTIES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Our primary manufacturing facilities by geographic area were as follows: </w:t>
      </w:r>
    </w:p>
    <w:p>
      <w:pPr>
        <w:pStyle w:val="TextBody"/>
        <w:bidi w:val="0"/>
        <w:spacing w:before="0" w:after="0"/>
        <w:jc w:val="left"/>
        <w:rPr>
          <w:bdr w:val="single" w:sz="2" w:space="1" w:color="000000"/>
        </w:rPr>
      </w:pPr>
      <w:r>
        <w:rPr>
          <w:bdr w:val="single" w:sz="2" w:space="1" w:color="000000"/>
        </w:rPr>
        <w:t xml:space="preserve">  </w:t>
      </w:r>
    </w:p>
    <w:tbl>
      <w:tblPr>
        <w:tblW w:w="4275" w:type="dxa"/>
        <w:jc w:val="left"/>
        <w:tblInd w:w="0" w:type="dxa"/>
        <w:tblLayout w:type="fixed"/>
        <w:tblCellMar>
          <w:top w:w="0" w:type="dxa"/>
          <w:left w:w="0" w:type="dxa"/>
          <w:bottom w:w="0" w:type="dxa"/>
          <w:right w:w="0" w:type="dxa"/>
        </w:tblCellMar>
      </w:tblPr>
      <w:tblGrid>
        <w:gridCol w:w="1595"/>
        <w:gridCol w:w="90"/>
        <w:gridCol w:w="1160"/>
        <w:gridCol w:w="90"/>
        <w:gridCol w:w="1340"/>
      </w:tblGrid>
      <w:tr>
        <w:trPr/>
        <w:tc>
          <w:tcPr>
            <w:tcW w:w="15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2" w:space="0" w:color="000000"/>
            </w:tcBorders>
            <w:tcMar>
              <w:bottom w:w="28" w:type="dxa"/>
            </w:tcMar>
            <w:vAlign w:val="center"/>
          </w:tcPr>
          <w:p>
            <w:pPr>
              <w:pStyle w:val="TableContents"/>
              <w:bidi w:val="0"/>
              <w:spacing w:before="0" w:after="283"/>
              <w:jc w:val="center"/>
              <w:rPr/>
            </w:pPr>
            <w:r>
              <w:rPr/>
              <w:t> </w:t>
            </w:r>
            <w:r>
              <w:rPr>
                <w:b/>
                <w:sz w:val="18"/>
              </w:rPr>
              <w:t>Geographic Region</w:t>
            </w:r>
          </w:p>
        </w:tc>
        <w:tc>
          <w:tcPr>
            <w:tcW w:w="90" w:type="dxa"/>
            <w:tcBorders/>
            <w:vAlign w:val="center"/>
          </w:tcPr>
          <w:p>
            <w:pPr>
              <w:pStyle w:val="TableContents"/>
              <w:bidi w:val="0"/>
              <w:spacing w:before="0" w:after="283"/>
              <w:jc w:val="left"/>
              <w:rPr/>
            </w:pPr>
            <w:r>
              <w:rPr/>
              <w:t> </w:t>
            </w:r>
          </w:p>
        </w:tc>
        <w:tc>
          <w:tcPr>
            <w:tcW w:w="1160" w:type="dxa"/>
            <w:tcBorders>
              <w:bottom w:val="single" w:sz="2" w:space="0" w:color="000000"/>
            </w:tcBorders>
            <w:tcMar>
              <w:bottom w:w="28" w:type="dxa"/>
            </w:tcMar>
            <w:vAlign w:val="center"/>
          </w:tcPr>
          <w:p>
            <w:pPr>
              <w:pStyle w:val="TableContents"/>
              <w:bidi w:val="0"/>
              <w:spacing w:before="0" w:after="283"/>
              <w:jc w:val="center"/>
              <w:rPr>
                <w:b/>
                <w:sz w:val="18"/>
              </w:rPr>
            </w:pPr>
            <w:r>
              <w:rPr>
                <w:b/>
                <w:sz w:val="18"/>
              </w:rPr>
              <w:t>Total Facilities</w:t>
            </w:r>
          </w:p>
        </w:tc>
        <w:tc>
          <w:tcPr>
            <w:tcW w:w="90" w:type="dxa"/>
            <w:tcBorders/>
            <w:vAlign w:val="center"/>
          </w:tcPr>
          <w:p>
            <w:pPr>
              <w:pStyle w:val="TableContents"/>
              <w:bidi w:val="0"/>
              <w:spacing w:before="0" w:after="283"/>
              <w:jc w:val="left"/>
              <w:rPr/>
            </w:pPr>
            <w:r>
              <w:rPr/>
              <w:t> </w:t>
            </w:r>
          </w:p>
        </w:tc>
        <w:tc>
          <w:tcPr>
            <w:tcW w:w="1340" w:type="dxa"/>
            <w:tcBorders>
              <w:bottom w:val="single" w:sz="2" w:space="0" w:color="000000"/>
            </w:tcBorders>
            <w:tcMar>
              <w:bottom w:w="28" w:type="dxa"/>
            </w:tcMar>
            <w:vAlign w:val="center"/>
          </w:tcPr>
          <w:p>
            <w:pPr>
              <w:pStyle w:val="TableContents"/>
              <w:bidi w:val="0"/>
              <w:spacing w:before="0" w:after="283"/>
              <w:jc w:val="center"/>
              <w:rPr>
                <w:b/>
                <w:sz w:val="18"/>
              </w:rPr>
            </w:pPr>
            <w:r>
              <w:rPr>
                <w:b/>
                <w:sz w:val="18"/>
              </w:rPr>
              <w:t>Leased Facilities</w:t>
            </w:r>
          </w:p>
        </w:tc>
      </w:tr>
      <w:tr>
        <w:trPr/>
        <w:tc>
          <w:tcPr>
            <w:tcW w:w="1595" w:type="dxa"/>
            <w:tcBorders/>
            <w:vAlign w:val="center"/>
          </w:tcPr>
          <w:p>
            <w:pPr>
              <w:pStyle w:val="TableContents"/>
              <w:bidi w:val="0"/>
              <w:spacing w:before="0" w:after="283"/>
              <w:jc w:val="center"/>
              <w:rPr>
                <w:sz w:val="18"/>
              </w:rPr>
            </w:pPr>
            <w:r>
              <w:rPr>
                <w:sz w:val="18"/>
              </w:rPr>
              <w:t>Americas</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sz w:val="18"/>
              </w:rPr>
            </w:pPr>
            <w:r>
              <w:rPr>
                <w:sz w:val="18"/>
              </w:rPr>
              <w:t>22</w:t>
            </w:r>
          </w:p>
        </w:tc>
        <w:tc>
          <w:tcPr>
            <w:tcW w:w="9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sz w:val="18"/>
              </w:rPr>
            </w:pPr>
            <w:r>
              <w:rPr>
                <w:sz w:val="18"/>
              </w:rPr>
              <w:t>2</w:t>
            </w:r>
          </w:p>
        </w:tc>
      </w:tr>
      <w:tr>
        <w:trPr/>
        <w:tc>
          <w:tcPr>
            <w:tcW w:w="1595" w:type="dxa"/>
            <w:tcBorders/>
            <w:vAlign w:val="center"/>
          </w:tcPr>
          <w:p>
            <w:pPr>
              <w:pStyle w:val="TableContents"/>
              <w:bidi w:val="0"/>
              <w:spacing w:before="0" w:after="283"/>
              <w:jc w:val="center"/>
              <w:rPr>
                <w:sz w:val="18"/>
              </w:rPr>
            </w:pPr>
            <w:r>
              <w:rPr>
                <w:sz w:val="18"/>
              </w:rPr>
              <w:t>Rest of world</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sz w:val="18"/>
              </w:rPr>
            </w:pPr>
            <w:r>
              <w:rPr>
                <w:sz w:val="18"/>
              </w:rPr>
              <w:t>23</w:t>
            </w:r>
          </w:p>
        </w:tc>
        <w:tc>
          <w:tcPr>
            <w:tcW w:w="9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sz w:val="18"/>
              </w:rPr>
            </w:pPr>
            <w:r>
              <w:rPr>
                <w:sz w:val="18"/>
              </w:rPr>
              <w:t>4</w:t>
            </w:r>
          </w:p>
        </w:tc>
      </w:tr>
    </w:tbl>
    <w:p>
      <w:pPr>
        <w:pStyle w:val="TextBody"/>
        <w:bidi w:val="0"/>
        <w:spacing w:before="0" w:after="0"/>
        <w:jc w:val="both"/>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bookmarkStart w:id="7" w:name="Item3LEGALPROCEEDINGS"/>
      <w:bookmarkEnd w:id="7"/>
      <w:r>
        <w:rPr>
          <w:rFonts w:ascii="Times New Roman" w:hAnsi="Times New Roman"/>
          <w:b/>
          <w:sz w:val="18"/>
          <w:u w:val="single"/>
          <w:bdr w:val="single" w:sz="2" w:space="1" w:color="000000"/>
        </w:rPr>
        <w:t>Item 3.</w:t>
      </w:r>
      <w:r>
        <w:rPr>
          <w:rFonts w:ascii="Times New Roman" w:hAnsi="Times New Roman"/>
          <w:sz w:val="18"/>
          <w:bdr w:val="single" w:sz="2" w:space="1" w:color="000000"/>
        </w:rPr>
        <w:t>  </w:t>
      </w:r>
      <w:r>
        <w:rPr>
          <w:rFonts w:ascii="Times New Roman" w:hAnsi="Times New Roman"/>
          <w:b/>
          <w:sz w:val="18"/>
          <w:bdr w:val="single" w:sz="2" w:space="1" w:color="000000"/>
        </w:rPr>
        <w:t>LEGAL PROCEEDINGS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We are party to various legal proceedings involving routine claims which are incidental to our business. Although our legal and financial liability with respect to such proceedings cannot be estimated with certainty, we believe that any ultimate liability would not be material to the business, financial condition, results of operations or cash flows.  See Note 5. Commitments, Leases and Contingencies.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ind w:left="0" w:right="0" w:firstLine="2"/>
        <w:jc w:val="left"/>
        <w:rPr>
          <w:rFonts w:ascii="Times New Roman" w:hAnsi="Times New Roman"/>
          <w:sz w:val="18"/>
          <w:bdr w:val="single" w:sz="2" w:space="1" w:color="000000"/>
        </w:rPr>
      </w:pPr>
      <w:bookmarkStart w:id="8" w:name="Item4MINESAFETYDISCLOSURE"/>
      <w:bookmarkEnd w:id="8"/>
      <w:r>
        <w:rPr>
          <w:rFonts w:ascii="Times New Roman" w:hAnsi="Times New Roman"/>
          <w:b/>
          <w:sz w:val="18"/>
          <w:u w:val="single"/>
          <w:bdr w:val="single" w:sz="2" w:space="1" w:color="000000"/>
        </w:rPr>
        <w:t>Item 4.</w:t>
      </w:r>
      <w:r>
        <w:rPr>
          <w:rFonts w:ascii="Times New Roman" w:hAnsi="Times New Roman"/>
          <w:sz w:val="18"/>
          <w:bdr w:val="single" w:sz="2" w:space="1" w:color="000000"/>
        </w:rPr>
        <w:t>  </w:t>
      </w:r>
      <w:r>
        <w:rPr>
          <w:rFonts w:ascii="Times New Roman" w:hAnsi="Times New Roman"/>
          <w:b/>
          <w:sz w:val="18"/>
          <w:bdr w:val="single" w:sz="2" w:space="1" w:color="000000"/>
        </w:rPr>
        <w:t>MINE SAFETY DISCLOSURES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Not applicable.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center"/>
        <w:rPr>
          <w:rFonts w:ascii="Times New Roman" w:hAnsi="Times New Roman"/>
          <w:sz w:val="18"/>
          <w:bdr w:val="single" w:sz="2" w:space="1" w:color="000000"/>
        </w:rPr>
      </w:pPr>
      <w:r>
        <w:rPr>
          <w:rFonts w:ascii="Times New Roman" w:hAnsi="Times New Roman"/>
          <w:b/>
          <w:sz w:val="18"/>
          <w:bdr w:val="single" w:sz="2" w:space="1" w:color="000000"/>
        </w:rPr>
        <w:t>PART II</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ind w:left="0" w:right="0" w:firstLine="2"/>
        <w:jc w:val="left"/>
        <w:rPr>
          <w:rFonts w:ascii="Times New Roman" w:hAnsi="Times New Roman"/>
          <w:sz w:val="18"/>
          <w:bdr w:val="single" w:sz="2" w:space="1" w:color="000000"/>
        </w:rPr>
      </w:pPr>
      <w:bookmarkStart w:id="9" w:name="Item5MARKET"/>
      <w:bookmarkEnd w:id="9"/>
      <w:r>
        <w:rPr>
          <w:rFonts w:ascii="Times New Roman" w:hAnsi="Times New Roman"/>
          <w:b/>
          <w:sz w:val="18"/>
          <w:u w:val="single"/>
          <w:bdr w:val="single" w:sz="2" w:space="1" w:color="000000"/>
        </w:rPr>
        <w:t>Item 5.</w:t>
      </w:r>
      <w:r>
        <w:rPr>
          <w:rFonts w:ascii="Times New Roman" w:hAnsi="Times New Roman"/>
          <w:sz w:val="18"/>
          <w:bdr w:val="single" w:sz="2" w:space="1" w:color="000000"/>
        </w:rPr>
        <w:t>  </w:t>
      </w:r>
      <w:r>
        <w:rPr>
          <w:rFonts w:ascii="Times New Roman" w:hAnsi="Times New Roman"/>
          <w:b/>
          <w:sz w:val="18"/>
          <w:bdr w:val="single" w:sz="2" w:space="1" w:color="000000"/>
        </w:rPr>
        <w:t>MARKET FOR REGISTRANT’S COMMON EQUITY, RELATED STOCKHOLDER MATTERS, AND ISSUER PURCHASES OF EQUITY SECURITIES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Our common stock “MAGN” is listed on the New York Stock Exchange. As of the date of this filing, there were fewer than 62 active record holders of our common stock, but we estimate the number of beneficial stockholders to be much higher as a number of our shares are held by brokers or dealers for their customers in street name. </w:t>
      </w:r>
    </w:p>
    <w:p>
      <w:pPr>
        <w:pStyle w:val="TextBody"/>
        <w:bidi w:val="0"/>
        <w:spacing w:before="0" w:after="0"/>
        <w:ind w:left="360" w:right="0" w:hanging="0"/>
        <w:jc w:val="left"/>
        <w:rPr>
          <w:bdr w:val="single" w:sz="2" w:space="1" w:color="000000"/>
        </w:rPr>
      </w:pPr>
      <w:r>
        <w:rPr>
          <w:bdr w:val="single" w:sz="2" w:space="1" w:color="000000"/>
        </w:rPr>
        <w:t xml:space="preserve">  </w:t>
      </w:r>
    </w:p>
    <w:p>
      <w:pPr>
        <w:pStyle w:val="TextBody"/>
        <w:bidi w:val="0"/>
        <w:spacing w:before="0" w:after="0"/>
        <w:ind w:left="0" w:right="0" w:hanging="360"/>
        <w:jc w:val="left"/>
        <w:rPr>
          <w:rFonts w:ascii="Times New Roman" w:hAnsi="Times New Roman"/>
          <w:sz w:val="18"/>
        </w:rPr>
      </w:pPr>
      <w:bookmarkStart w:id="10" w:name="Item6"/>
      <w:bookmarkEnd w:id="10"/>
      <w:r>
        <w:rPr>
          <w:rFonts w:ascii="Times New Roman" w:hAnsi="Times New Roman"/>
          <w:b/>
          <w:sz w:val="18"/>
          <w:u w:val="single"/>
        </w:rPr>
        <w:t>Item 6.</w:t>
      </w:r>
      <w:r>
        <w:rPr>
          <w:rFonts w:ascii="Times New Roman" w:hAnsi="Times New Roman"/>
          <w:sz w:val="18"/>
        </w:rPr>
        <w:t>  </w:t>
      </w:r>
      <w:r>
        <w:rPr>
          <w:rFonts w:ascii="Times New Roman" w:hAnsi="Times New Roman"/>
          <w:b/>
          <w:sz w:val="18"/>
        </w:rPr>
        <w:t xml:space="preserve">RESERVED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bookmarkStart w:id="11" w:name="Item7MANAGEMENT"/>
      <w:bookmarkEnd w:id="11"/>
      <w:r>
        <w:rPr>
          <w:rFonts w:ascii="Times New Roman" w:hAnsi="Times New Roman"/>
          <w:b/>
          <w:sz w:val="18"/>
          <w:u w:val="single"/>
          <w:bdr w:val="single" w:sz="2" w:space="1" w:color="000000"/>
        </w:rPr>
        <w:t>Item 7.</w:t>
      </w:r>
      <w:r>
        <w:rPr>
          <w:rFonts w:ascii="Times New Roman" w:hAnsi="Times New Roman"/>
          <w:sz w:val="18"/>
          <w:bdr w:val="single" w:sz="2" w:space="1" w:color="000000"/>
        </w:rPr>
        <w:t>  </w:t>
      </w:r>
      <w:r>
        <w:rPr>
          <w:rFonts w:ascii="Times New Roman" w:hAnsi="Times New Roman"/>
          <w:b/>
          <w:sz w:val="18"/>
          <w:bdr w:val="single" w:sz="2" w:space="1" w:color="000000"/>
        </w:rPr>
        <w:t>MANAGEMENT’S DISCUSSION AND ANALYSIS OF FINANCIAL CONDITION AND RESULTS OF OPERATIONS  </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Outlook</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The Company is affected by general economic and industrial growth, raw material availability, cost inflation, supply chain disruptions, new and changing tariffs and general industrial production. Our business has both geographic and end market diversity, which reduces the effect of any one of these factors on our overall performance. Our results are affected by our ability to pass through raw material and other cost changes, including tariffs, to our customers, improve manufacturing productivity and adapt to volume changes of our customers. During fiscal 2025, the Company announced capacity rationalizations (Project CORE) in order to deliver future cost savings and optimize equipment utilization. In total, over the next two years, these actions are projected to cost approximately $20 million with the operations savings intended to counter general economic softness. Despite global macro-economic challenges and uncertainties attributed to inflation, changing tariff policies and general market softness, we continue to believe our underlying long-term demand fundamental in all segments will remain strong as we focus on providing advantaged products in targeted markets. For fiscal year 2026 ("fiscal 2026"), we project cash from operations between $170 to $190 million and free cash flow between $90 to $110 million. Projected fiscal 2026 free cash flow assumes $80 million of capital spending. For the definition of free cash flow and further information related to free cash flow as a non-GAAP financial measure, see “</w:t>
      </w:r>
      <w:r>
        <w:rPr>
          <w:rFonts w:ascii="Times New Roman" w:hAnsi="Times New Roman"/>
          <w:i/>
          <w:sz w:val="18"/>
          <w:bdr w:val="single" w:sz="2" w:space="1" w:color="000000"/>
        </w:rPr>
        <w:t>Liquidity and Capital Resources.”</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b/>
          <w:sz w:val="18"/>
          <w:bdr w:val="single" w:sz="2" w:space="1" w:color="000000"/>
        </w:rPr>
      </w:pPr>
      <w:r>
        <w:rPr>
          <w:rFonts w:ascii="Times New Roman" w:hAnsi="Times New Roman"/>
          <w:b/>
          <w:sz w:val="18"/>
          <w:bdr w:val="single" w:sz="2" w:space="1" w:color="000000"/>
        </w:rPr>
        <w:t>Discussion of Results of Operations for Fiscal 2025 Compared to Fiscal 2024</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sz w:val="18"/>
          <w:bdr w:val="single" w:sz="2" w:space="1" w:color="000000"/>
        </w:rPr>
      </w:pPr>
      <w:r>
        <w:rPr>
          <w:rFonts w:ascii="Times New Roman" w:hAnsi="Times New Roman"/>
          <w:i/>
          <w:sz w:val="18"/>
          <w:bdr w:val="single" w:sz="2" w:space="1" w:color="000000"/>
        </w:rPr>
        <w:t>Business integration expenses consist of restructuring and impairment charges, divestiture-related costs, and other business optimization costs. Tables present dollars in millio</w:t>
      </w:r>
      <w:r>
        <w:rPr>
          <w:rFonts w:ascii="Times New Roman" w:hAnsi="Times New Roman"/>
          <w:i/>
          <w:sz w:val="18"/>
          <w:bdr w:val="single" w:sz="2" w:space="1" w:color="000000"/>
          <w:shd w:fill="FFFFFF" w:val="clear"/>
        </w:rPr>
        <w:t>ns. </w:t>
      </w:r>
      <w:r>
        <w:rPr>
          <w:rFonts w:ascii="Times New Roman" w:hAnsi="Times New Roman"/>
          <w:i/>
          <w:sz w:val="18"/>
          <w:shd w:fill="FFFFFF" w:val="clear"/>
        </w:rPr>
        <w:t>A discussion and analysis regarding our results of operations for fiscal year 2024 compared to fiscal year 2023 can be found on Form 8-K/A, filed with the SEC on January 31, 2025</w:t>
      </w:r>
      <w:r>
        <w:rPr>
          <w:rFonts w:ascii="Times New Roman" w:hAnsi="Times New Roman"/>
          <w:i/>
          <w:sz w:val="18"/>
          <w:bdr w:val="single" w:sz="2" w:space="1" w:color="000000"/>
          <w:shd w:fill="FFFFFF" w:val="clear"/>
        </w:rPr>
        <w:t xml:space="preserve">. </w:t>
      </w:r>
    </w:p>
    <w:p>
      <w:pPr>
        <w:pStyle w:val="TextBody"/>
        <w:bidi w:val="0"/>
        <w:spacing w:before="0" w:after="0"/>
        <w:ind w:left="0" w:right="0" w:hanging="0"/>
        <w:jc w:val="both"/>
        <w:rPr>
          <w:bdr w:val="single" w:sz="2" w:space="1" w:color="000000"/>
        </w:rPr>
      </w:pPr>
      <w:r>
        <w:rPr>
          <w:bdr w:val="single" w:sz="2" w:space="1" w:color="000000"/>
        </w:rPr>
        <w:t> </w:t>
      </w:r>
    </w:p>
    <w:tbl>
      <w:tblPr>
        <w:tblW w:w="10800" w:type="dxa"/>
        <w:jc w:val="left"/>
        <w:tblInd w:w="0" w:type="dxa"/>
        <w:tblLayout w:type="fixed"/>
        <w:tblCellMar>
          <w:top w:w="0" w:type="dxa"/>
          <w:left w:w="0" w:type="dxa"/>
          <w:bottom w:w="0" w:type="dxa"/>
          <w:right w:w="0" w:type="dxa"/>
        </w:tblCellMar>
      </w:tblPr>
      <w:tblGrid>
        <w:gridCol w:w="3963"/>
        <w:gridCol w:w="289"/>
        <w:gridCol w:w="1003"/>
        <w:gridCol w:w="153"/>
        <w:gridCol w:w="153"/>
        <w:gridCol w:w="289"/>
        <w:gridCol w:w="1003"/>
        <w:gridCol w:w="153"/>
        <w:gridCol w:w="153"/>
        <w:gridCol w:w="328"/>
        <w:gridCol w:w="1137"/>
        <w:gridCol w:w="175"/>
        <w:gridCol w:w="153"/>
        <w:gridCol w:w="209"/>
        <w:gridCol w:w="957"/>
        <w:gridCol w:w="682"/>
      </w:tblGrid>
      <w:tr>
        <w:trPr/>
        <w:tc>
          <w:tcPr>
            <w:tcW w:w="3963"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r>
      <w:tr>
        <w:trPr/>
        <w:tc>
          <w:tcPr>
            <w:tcW w:w="3963" w:type="dxa"/>
            <w:tcBorders/>
            <w:vAlign w:val="bottom"/>
          </w:tcPr>
          <w:p>
            <w:pPr>
              <w:pStyle w:val="TableContents"/>
              <w:bidi w:val="0"/>
              <w:spacing w:before="0" w:after="0"/>
              <w:ind w:left="180" w:right="0" w:hanging="180"/>
              <w:jc w:val="left"/>
              <w:rPr>
                <w:b/>
                <w:i/>
              </w:rPr>
            </w:pPr>
            <w:r>
              <w:rPr>
                <w:b/>
                <w:i/>
              </w:rPr>
              <w:t>Consolidated Overview</w:t>
            </w:r>
          </w:p>
        </w:tc>
        <w:tc>
          <w:tcPr>
            <w:tcW w:w="3043" w:type="dxa"/>
            <w:gridSpan w:val="7"/>
            <w:tcBorders>
              <w:bottom w:val="single" w:sz="2" w:space="0" w:color="000000"/>
            </w:tcBorders>
            <w:tcMar>
              <w:bottom w:w="28" w:type="dxa"/>
            </w:tcMar>
            <w:vAlign w:val="bottom"/>
          </w:tcPr>
          <w:p>
            <w:pPr>
              <w:pStyle w:val="TableContents"/>
              <w:bidi w:val="0"/>
              <w:spacing w:before="0" w:after="0"/>
              <w:ind w:left="0" w:right="0" w:hanging="0"/>
              <w:jc w:val="center"/>
              <w:rPr>
                <w:b/>
              </w:rPr>
            </w:pPr>
            <w:r>
              <w:rPr>
                <w:b/>
              </w:rPr>
              <w:t>Fiscal Year</w:t>
            </w:r>
          </w:p>
        </w:tc>
        <w:tc>
          <w:tcPr>
            <w:tcW w:w="153" w:type="dxa"/>
            <w:tcBorders/>
            <w:vAlign w:val="bottom"/>
          </w:tcPr>
          <w:p>
            <w:pPr>
              <w:pStyle w:val="TableContents"/>
              <w:bidi w:val="0"/>
              <w:spacing w:before="0" w:after="283"/>
              <w:jc w:val="left"/>
              <w:rPr/>
            </w:pPr>
            <w:r>
              <w:rPr/>
              <w:t> </w:t>
            </w:r>
          </w:p>
        </w:tc>
        <w:tc>
          <w:tcPr>
            <w:tcW w:w="1640" w:type="dxa"/>
            <w:gridSpan w:val="3"/>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bidi w:val="0"/>
              <w:spacing w:before="0" w:after="283"/>
              <w:jc w:val="left"/>
              <w:rPr/>
            </w:pPr>
            <w:r>
              <w:rPr/>
              <w:t> </w:t>
            </w:r>
          </w:p>
        </w:tc>
      </w:tr>
      <w:tr>
        <w:trPr/>
        <w:tc>
          <w:tcPr>
            <w:tcW w:w="3963" w:type="dxa"/>
            <w:tcBorders/>
            <w:vAlign w:val="bottom"/>
          </w:tcPr>
          <w:p>
            <w:pPr>
              <w:pStyle w:val="TableContents"/>
              <w:bidi w:val="0"/>
              <w:spacing w:before="0" w:after="283"/>
              <w:jc w:val="left"/>
              <w:rPr/>
            </w:pPr>
            <w:r>
              <w:rPr/>
              <w:t> </w:t>
            </w:r>
          </w:p>
        </w:tc>
        <w:tc>
          <w:tcPr>
            <w:tcW w:w="1445" w:type="dxa"/>
            <w:gridSpan w:val="3"/>
            <w:tcBorders>
              <w:bottom w:val="single" w:sz="8" w:space="0" w:color="000000"/>
            </w:tcBorders>
            <w:tcMar>
              <w:bottom w:w="28" w:type="dxa"/>
            </w:tcMar>
            <w:vAlign w:val="bottom"/>
          </w:tcPr>
          <w:p>
            <w:pPr>
              <w:pStyle w:val="TableContents"/>
              <w:bidi w:val="0"/>
              <w:spacing w:before="0" w:after="0"/>
              <w:ind w:left="0" w:right="0" w:hanging="0"/>
              <w:jc w:val="center"/>
              <w:rPr>
                <w:b/>
              </w:rPr>
            </w:pPr>
            <w:r>
              <w:rPr>
                <w:b/>
              </w:rPr>
              <w:t>2025</w:t>
            </w:r>
          </w:p>
        </w:tc>
        <w:tc>
          <w:tcPr>
            <w:tcW w:w="153" w:type="dxa"/>
            <w:tcBorders>
              <w:top w:val="single" w:sz="8" w:space="0" w:color="000000"/>
            </w:tcBorders>
            <w:tcMar>
              <w:top w:w="28" w:type="dxa"/>
            </w:tcMar>
            <w:vAlign w:val="bottom"/>
          </w:tcPr>
          <w:p>
            <w:pPr>
              <w:pStyle w:val="TableContents"/>
              <w:bidi w:val="0"/>
              <w:spacing w:before="0" w:after="283"/>
              <w:jc w:val="left"/>
              <w:rPr/>
            </w:pPr>
            <w:r>
              <w:rPr/>
              <w:t> </w:t>
            </w:r>
          </w:p>
        </w:tc>
        <w:tc>
          <w:tcPr>
            <w:tcW w:w="1445" w:type="dxa"/>
            <w:gridSpan w:val="3"/>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pPr>
            <w:r>
              <w:rPr/>
              <w:t>2024</w:t>
            </w:r>
          </w:p>
        </w:tc>
        <w:tc>
          <w:tcPr>
            <w:tcW w:w="153" w:type="dxa"/>
            <w:tcBorders/>
            <w:vAlign w:val="bottom"/>
          </w:tcPr>
          <w:p>
            <w:pPr>
              <w:pStyle w:val="TableContents"/>
              <w:bidi w:val="0"/>
              <w:spacing w:before="0" w:after="283"/>
              <w:jc w:val="left"/>
              <w:rPr/>
            </w:pPr>
            <w:r>
              <w:rPr/>
              <w:t> </w:t>
            </w:r>
          </w:p>
        </w:tc>
        <w:tc>
          <w:tcPr>
            <w:tcW w:w="1640" w:type="dxa"/>
            <w:gridSpan w:val="3"/>
            <w:tcBorders>
              <w:bottom w:val="single" w:sz="8" w:space="0" w:color="000000"/>
            </w:tcBorders>
            <w:tcMar>
              <w:bottom w:w="28" w:type="dxa"/>
            </w:tcMar>
            <w:vAlign w:val="bottom"/>
          </w:tcPr>
          <w:p>
            <w:pPr>
              <w:pStyle w:val="TableContents"/>
              <w:bidi w:val="0"/>
              <w:spacing w:before="0" w:after="0"/>
              <w:ind w:left="0" w:right="0" w:hanging="0"/>
              <w:jc w:val="center"/>
              <w:rPr/>
            </w:pPr>
            <w:r>
              <w:rPr/>
              <w:t>$ Change</w:t>
            </w:r>
          </w:p>
        </w:tc>
        <w:tc>
          <w:tcPr>
            <w:tcW w:w="153" w:type="dxa"/>
            <w:tcBorders/>
            <w:vAlign w:val="bottom"/>
          </w:tcPr>
          <w:p>
            <w:pPr>
              <w:pStyle w:val="TableContents"/>
              <w:bidi w:val="0"/>
              <w:spacing w:before="0" w:after="283"/>
              <w:jc w:val="left"/>
              <w:rPr/>
            </w:pPr>
            <w:r>
              <w:rPr/>
              <w:t> </w:t>
            </w:r>
          </w:p>
        </w:tc>
        <w:tc>
          <w:tcPr>
            <w:tcW w:w="1848" w:type="dxa"/>
            <w:gridSpan w:val="3"/>
            <w:tcBorders>
              <w:bottom w:val="single" w:sz="8" w:space="0" w:color="000000"/>
            </w:tcBorders>
            <w:tcMar>
              <w:bottom w:w="28" w:type="dxa"/>
            </w:tcMar>
            <w:vAlign w:val="bottom"/>
          </w:tcPr>
          <w:p>
            <w:pPr>
              <w:pStyle w:val="TableContents"/>
              <w:bidi w:val="0"/>
              <w:spacing w:before="0" w:after="0"/>
              <w:ind w:left="0" w:right="0" w:hanging="0"/>
              <w:jc w:val="center"/>
              <w:rPr/>
            </w:pPr>
            <w:r>
              <w:rPr/>
              <w:t>% Change</w:t>
            </w:r>
          </w:p>
        </w:tc>
      </w:tr>
      <w:tr>
        <w:trPr/>
        <w:tc>
          <w:tcPr>
            <w:tcW w:w="3963" w:type="dxa"/>
            <w:tcBorders/>
            <w:vAlign w:val="bottom"/>
          </w:tcPr>
          <w:p>
            <w:pPr>
              <w:pStyle w:val="TableContents"/>
              <w:bidi w:val="0"/>
              <w:spacing w:before="0" w:after="0"/>
              <w:ind w:left="0" w:right="0" w:hanging="0"/>
              <w:jc w:val="left"/>
              <w:rPr/>
            </w:pPr>
            <w:r>
              <w:rPr/>
              <w:t>Net sales</w:t>
            </w:r>
          </w:p>
        </w:tc>
        <w:tc>
          <w:tcPr>
            <w:tcW w:w="289" w:type="dxa"/>
            <w:tcBorders/>
            <w:vAlign w:val="bottom"/>
          </w:tcPr>
          <w:p>
            <w:pPr>
              <w:pStyle w:val="TableContents"/>
              <w:bidi w:val="0"/>
              <w:spacing w:before="0" w:after="0"/>
              <w:ind w:left="0" w:right="0" w:hanging="0"/>
              <w:jc w:val="left"/>
              <w:rPr/>
            </w:pPr>
            <w:r>
              <w:rPr/>
              <w:t>$</w:t>
            </w:r>
          </w:p>
        </w:tc>
        <w:tc>
          <w:tcPr>
            <w:tcW w:w="1003" w:type="dxa"/>
            <w:tcBorders/>
            <w:vAlign w:val="bottom"/>
          </w:tcPr>
          <w:p>
            <w:pPr>
              <w:pStyle w:val="TableContents"/>
              <w:bidi w:val="0"/>
              <w:spacing w:before="0" w:after="0"/>
              <w:ind w:left="0" w:right="0" w:hanging="0"/>
              <w:jc w:val="right"/>
              <w:rPr>
                <w:b/>
              </w:rPr>
            </w:pPr>
            <w:r>
              <w:rPr>
                <w:b/>
              </w:rPr>
              <w:t>3,204</w:t>
            </w:r>
          </w:p>
        </w:tc>
        <w:tc>
          <w:tcPr>
            <w:tcW w:w="153" w:type="dxa"/>
            <w:tcBorders/>
            <w:vAlign w:val="bottom"/>
          </w:tcPr>
          <w:p>
            <w:pPr>
              <w:pStyle w:val="TableContents"/>
              <w:bidi w:val="0"/>
              <w:spacing w:before="0" w:after="0"/>
              <w:jc w:val="left"/>
              <w:rPr/>
            </w:pPr>
            <w:r>
              <w:rPr/>
              <w:t> </w:t>
            </w:r>
          </w:p>
        </w:tc>
        <w:tc>
          <w:tcPr>
            <w:tcW w:w="153" w:type="dxa"/>
            <w:tcBorders/>
            <w:vAlign w:val="bottom"/>
          </w:tcPr>
          <w:p>
            <w:pPr>
              <w:pStyle w:val="TableContents"/>
              <w:bidi w:val="0"/>
              <w:spacing w:before="0" w:after="283"/>
              <w:ind w:left="0" w:right="0" w:hanging="0"/>
              <w:jc w:val="left"/>
              <w:rPr/>
            </w:pPr>
            <w:r>
              <w:rPr/>
              <w:t> </w:t>
            </w:r>
          </w:p>
        </w:tc>
        <w:tc>
          <w:tcPr>
            <w:tcW w:w="289" w:type="dxa"/>
            <w:tcBorders/>
            <w:vAlign w:val="bottom"/>
          </w:tcPr>
          <w:p>
            <w:pPr>
              <w:pStyle w:val="TableContents"/>
              <w:bidi w:val="0"/>
              <w:spacing w:before="0" w:after="0"/>
              <w:ind w:left="0" w:right="0" w:hanging="0"/>
              <w:jc w:val="left"/>
              <w:rPr/>
            </w:pPr>
            <w:r>
              <w:rPr/>
              <w:t>$</w:t>
            </w:r>
          </w:p>
        </w:tc>
        <w:tc>
          <w:tcPr>
            <w:tcW w:w="1003" w:type="dxa"/>
            <w:tcBorders/>
            <w:vAlign w:val="bottom"/>
          </w:tcPr>
          <w:p>
            <w:pPr>
              <w:pStyle w:val="TableContents"/>
              <w:bidi w:val="0"/>
              <w:spacing w:before="0" w:after="0"/>
              <w:ind w:left="0" w:right="0" w:hanging="0"/>
              <w:jc w:val="right"/>
              <w:rPr/>
            </w:pPr>
            <w:r>
              <w:rPr/>
              <w:t>2,187</w:t>
            </w:r>
          </w:p>
        </w:tc>
        <w:tc>
          <w:tcPr>
            <w:tcW w:w="153" w:type="dxa"/>
            <w:tcBorders/>
            <w:vAlign w:val="bottom"/>
          </w:tcPr>
          <w:p>
            <w:pPr>
              <w:pStyle w:val="TableContents"/>
              <w:bidi w:val="0"/>
              <w:spacing w:before="0" w:after="0"/>
              <w:jc w:val="left"/>
              <w:rPr/>
            </w:pPr>
            <w:r>
              <w:rPr/>
              <w:t> </w:t>
            </w:r>
          </w:p>
        </w:tc>
        <w:tc>
          <w:tcPr>
            <w:tcW w:w="153" w:type="dxa"/>
            <w:tcBorders/>
            <w:vAlign w:val="bottom"/>
          </w:tcPr>
          <w:p>
            <w:pPr>
              <w:pStyle w:val="TableContents"/>
              <w:bidi w:val="0"/>
              <w:spacing w:before="0" w:after="283"/>
              <w:ind w:left="0" w:right="0" w:hanging="0"/>
              <w:jc w:val="left"/>
              <w:rPr/>
            </w:pPr>
            <w:r>
              <w:rPr/>
              <w:t> </w:t>
            </w:r>
          </w:p>
        </w:tc>
        <w:tc>
          <w:tcPr>
            <w:tcW w:w="328" w:type="dxa"/>
            <w:tcBorders/>
            <w:vAlign w:val="bottom"/>
          </w:tcPr>
          <w:p>
            <w:pPr>
              <w:pStyle w:val="TableContents"/>
              <w:bidi w:val="0"/>
              <w:spacing w:before="0" w:after="0"/>
              <w:ind w:left="0" w:right="0" w:hanging="0"/>
              <w:jc w:val="left"/>
              <w:rPr/>
            </w:pPr>
            <w:r>
              <w:rPr/>
              <w:t>$</w:t>
            </w:r>
          </w:p>
        </w:tc>
        <w:tc>
          <w:tcPr>
            <w:tcW w:w="1137" w:type="dxa"/>
            <w:tcBorders/>
            <w:vAlign w:val="bottom"/>
          </w:tcPr>
          <w:p>
            <w:pPr>
              <w:pStyle w:val="TableContents"/>
              <w:bidi w:val="0"/>
              <w:spacing w:before="0" w:after="0"/>
              <w:ind w:left="0" w:right="0" w:hanging="0"/>
              <w:jc w:val="right"/>
              <w:rPr/>
            </w:pPr>
            <w:r>
              <w:rPr/>
              <w:t>1,017</w:t>
            </w:r>
          </w:p>
        </w:tc>
        <w:tc>
          <w:tcPr>
            <w:tcW w:w="175" w:type="dxa"/>
            <w:tcBorders/>
            <w:vAlign w:val="bottom"/>
          </w:tcPr>
          <w:p>
            <w:pPr>
              <w:pStyle w:val="TableContents"/>
              <w:bidi w:val="0"/>
              <w:spacing w:before="0" w:after="0"/>
              <w:jc w:val="left"/>
              <w:rPr/>
            </w:pPr>
            <w:r>
              <w:rPr/>
              <w:t> </w:t>
            </w:r>
          </w:p>
        </w:tc>
        <w:tc>
          <w:tcPr>
            <w:tcW w:w="153"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ind w:left="0" w:right="0" w:hanging="0"/>
              <w:jc w:val="left"/>
              <w:rPr/>
            </w:pPr>
            <w:r>
              <w:rPr/>
              <w:t> </w:t>
            </w:r>
          </w:p>
        </w:tc>
        <w:tc>
          <w:tcPr>
            <w:tcW w:w="957" w:type="dxa"/>
            <w:tcBorders/>
            <w:vAlign w:val="bottom"/>
          </w:tcPr>
          <w:p>
            <w:pPr>
              <w:pStyle w:val="TableContents"/>
              <w:bidi w:val="0"/>
              <w:spacing w:before="0" w:after="0"/>
              <w:ind w:left="0" w:right="0" w:hanging="0"/>
              <w:jc w:val="right"/>
              <w:rPr/>
            </w:pPr>
            <w:r>
              <w:rPr/>
              <w:t>47</w:t>
            </w:r>
          </w:p>
        </w:tc>
        <w:tc>
          <w:tcPr>
            <w:tcW w:w="682" w:type="dxa"/>
            <w:tcBorders/>
            <w:vAlign w:val="bottom"/>
          </w:tcPr>
          <w:p>
            <w:pPr>
              <w:pStyle w:val="TableContents"/>
              <w:bidi w:val="0"/>
              <w:spacing w:before="0" w:after="0"/>
              <w:jc w:val="left"/>
              <w:rPr/>
            </w:pPr>
            <w:r>
              <w:rPr/>
              <w:t>%</w:t>
            </w:r>
          </w:p>
        </w:tc>
      </w:tr>
      <w:tr>
        <w:trPr/>
        <w:tc>
          <w:tcPr>
            <w:tcW w:w="3963" w:type="dxa"/>
            <w:tcBorders/>
            <w:vAlign w:val="bottom"/>
          </w:tcPr>
          <w:p>
            <w:pPr>
              <w:pStyle w:val="TableContents"/>
              <w:bidi w:val="0"/>
              <w:spacing w:before="0" w:after="0"/>
              <w:ind w:left="0" w:right="0" w:hanging="0"/>
              <w:jc w:val="left"/>
              <w:rPr/>
            </w:pPr>
            <w:r>
              <w:rPr/>
              <w:t>Operating income (loss)</w:t>
            </w:r>
          </w:p>
        </w:tc>
        <w:tc>
          <w:tcPr>
            <w:tcW w:w="289" w:type="dxa"/>
            <w:tcBorders/>
            <w:vAlign w:val="bottom"/>
          </w:tcPr>
          <w:p>
            <w:pPr>
              <w:pStyle w:val="TableContents"/>
              <w:bidi w:val="0"/>
              <w:spacing w:before="0" w:after="0"/>
              <w:ind w:left="0" w:right="0" w:hanging="0"/>
              <w:jc w:val="left"/>
              <w:rPr/>
            </w:pPr>
            <w:r>
              <w:rPr/>
              <w:t>$</w:t>
            </w:r>
          </w:p>
        </w:tc>
        <w:tc>
          <w:tcPr>
            <w:tcW w:w="1003" w:type="dxa"/>
            <w:tcBorders/>
            <w:vAlign w:val="bottom"/>
          </w:tcPr>
          <w:p>
            <w:pPr>
              <w:pStyle w:val="TableContents"/>
              <w:bidi w:val="0"/>
              <w:spacing w:before="0" w:after="0"/>
              <w:ind w:left="0" w:right="0" w:hanging="0"/>
              <w:jc w:val="right"/>
              <w:rPr>
                <w:b/>
              </w:rPr>
            </w:pPr>
            <w:r>
              <w:rPr>
                <w:b/>
              </w:rPr>
              <w:t>5</w:t>
            </w:r>
          </w:p>
        </w:tc>
        <w:tc>
          <w:tcPr>
            <w:tcW w:w="153" w:type="dxa"/>
            <w:tcBorders/>
            <w:vAlign w:val="bottom"/>
          </w:tcPr>
          <w:p>
            <w:pPr>
              <w:pStyle w:val="TableContents"/>
              <w:bidi w:val="0"/>
              <w:spacing w:before="0" w:after="0"/>
              <w:jc w:val="left"/>
              <w:rPr/>
            </w:pPr>
            <w:r>
              <w:rPr/>
              <w:t> </w:t>
            </w:r>
          </w:p>
        </w:tc>
        <w:tc>
          <w:tcPr>
            <w:tcW w:w="153" w:type="dxa"/>
            <w:tcBorders/>
            <w:vAlign w:val="bottom"/>
          </w:tcPr>
          <w:p>
            <w:pPr>
              <w:pStyle w:val="TableContents"/>
              <w:bidi w:val="0"/>
              <w:spacing w:before="0" w:after="283"/>
              <w:ind w:left="0" w:right="0" w:hanging="0"/>
              <w:jc w:val="left"/>
              <w:rPr/>
            </w:pPr>
            <w:r>
              <w:rPr/>
              <w:t> </w:t>
            </w:r>
          </w:p>
        </w:tc>
        <w:tc>
          <w:tcPr>
            <w:tcW w:w="289" w:type="dxa"/>
            <w:tcBorders/>
            <w:vAlign w:val="bottom"/>
          </w:tcPr>
          <w:p>
            <w:pPr>
              <w:pStyle w:val="TableContents"/>
              <w:bidi w:val="0"/>
              <w:spacing w:before="0" w:after="0"/>
              <w:ind w:left="0" w:right="0" w:hanging="0"/>
              <w:jc w:val="left"/>
              <w:rPr/>
            </w:pPr>
            <w:r>
              <w:rPr/>
              <w:t>$</w:t>
            </w:r>
          </w:p>
        </w:tc>
        <w:tc>
          <w:tcPr>
            <w:tcW w:w="1003" w:type="dxa"/>
            <w:tcBorders/>
            <w:vAlign w:val="bottom"/>
          </w:tcPr>
          <w:p>
            <w:pPr>
              <w:pStyle w:val="TableContents"/>
              <w:bidi w:val="0"/>
              <w:spacing w:before="0" w:after="0"/>
              <w:ind w:left="0" w:right="0" w:hanging="0"/>
              <w:jc w:val="right"/>
              <w:rPr/>
            </w:pPr>
            <w:r>
              <w:rPr/>
              <w:t>(141)</w:t>
            </w:r>
          </w:p>
        </w:tc>
        <w:tc>
          <w:tcPr>
            <w:tcW w:w="153" w:type="dxa"/>
            <w:tcBorders/>
            <w:vAlign w:val="bottom"/>
          </w:tcPr>
          <w:p>
            <w:pPr>
              <w:pStyle w:val="TableContents"/>
              <w:bidi w:val="0"/>
              <w:spacing w:before="0" w:after="0"/>
              <w:jc w:val="left"/>
              <w:rPr/>
            </w:pPr>
            <w:r>
              <w:rPr/>
              <w:t> </w:t>
            </w:r>
          </w:p>
        </w:tc>
        <w:tc>
          <w:tcPr>
            <w:tcW w:w="153" w:type="dxa"/>
            <w:tcBorders/>
            <w:vAlign w:val="bottom"/>
          </w:tcPr>
          <w:p>
            <w:pPr>
              <w:pStyle w:val="TableContents"/>
              <w:bidi w:val="0"/>
              <w:spacing w:before="0" w:after="283"/>
              <w:ind w:left="0" w:right="0" w:hanging="0"/>
              <w:jc w:val="left"/>
              <w:rPr/>
            </w:pPr>
            <w:r>
              <w:rPr/>
              <w:t> </w:t>
            </w:r>
          </w:p>
        </w:tc>
        <w:tc>
          <w:tcPr>
            <w:tcW w:w="328" w:type="dxa"/>
            <w:tcBorders/>
            <w:vAlign w:val="bottom"/>
          </w:tcPr>
          <w:p>
            <w:pPr>
              <w:pStyle w:val="TableContents"/>
              <w:bidi w:val="0"/>
              <w:spacing w:before="0" w:after="0"/>
              <w:ind w:left="0" w:right="0" w:hanging="0"/>
              <w:jc w:val="left"/>
              <w:rPr/>
            </w:pPr>
            <w:r>
              <w:rPr/>
              <w:t>$</w:t>
            </w:r>
          </w:p>
        </w:tc>
        <w:tc>
          <w:tcPr>
            <w:tcW w:w="1137" w:type="dxa"/>
            <w:tcBorders/>
            <w:vAlign w:val="bottom"/>
          </w:tcPr>
          <w:p>
            <w:pPr>
              <w:pStyle w:val="TableContents"/>
              <w:bidi w:val="0"/>
              <w:spacing w:before="0" w:after="0"/>
              <w:ind w:left="0" w:right="0" w:hanging="0"/>
              <w:jc w:val="right"/>
              <w:rPr/>
            </w:pPr>
            <w:r>
              <w:rPr/>
              <w:t>146</w:t>
            </w:r>
          </w:p>
        </w:tc>
        <w:tc>
          <w:tcPr>
            <w:tcW w:w="175" w:type="dxa"/>
            <w:tcBorders/>
            <w:vAlign w:val="bottom"/>
          </w:tcPr>
          <w:p>
            <w:pPr>
              <w:pStyle w:val="TableContents"/>
              <w:bidi w:val="0"/>
              <w:spacing w:before="0" w:after="0"/>
              <w:jc w:val="left"/>
              <w:rPr/>
            </w:pPr>
            <w:r>
              <w:rPr/>
              <w:t> </w:t>
            </w:r>
          </w:p>
        </w:tc>
        <w:tc>
          <w:tcPr>
            <w:tcW w:w="153"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ind w:left="0" w:right="0" w:hanging="0"/>
              <w:jc w:val="left"/>
              <w:rPr/>
            </w:pPr>
            <w:r>
              <w:rPr/>
              <w:t> </w:t>
            </w:r>
          </w:p>
        </w:tc>
        <w:tc>
          <w:tcPr>
            <w:tcW w:w="957" w:type="dxa"/>
            <w:tcBorders/>
            <w:vAlign w:val="bottom"/>
          </w:tcPr>
          <w:p>
            <w:pPr>
              <w:pStyle w:val="TableContents"/>
              <w:bidi w:val="0"/>
              <w:spacing w:before="0" w:after="0"/>
              <w:ind w:left="0" w:right="0" w:hanging="0"/>
              <w:jc w:val="right"/>
              <w:rPr/>
            </w:pPr>
            <w:r>
              <w:rPr/>
              <w:t>104</w:t>
            </w:r>
          </w:p>
        </w:tc>
        <w:tc>
          <w:tcPr>
            <w:tcW w:w="682" w:type="dxa"/>
            <w:tcBorders/>
            <w:vAlign w:val="bottom"/>
          </w:tcPr>
          <w:p>
            <w:pPr>
              <w:pStyle w:val="TableContents"/>
              <w:bidi w:val="0"/>
              <w:spacing w:before="0" w:after="0"/>
              <w:jc w:val="left"/>
              <w:rPr/>
            </w:pPr>
            <w:r>
              <w:rPr/>
              <w:t>%</w:t>
            </w:r>
          </w:p>
        </w:tc>
      </w:tr>
    </w:tbl>
    <w:p>
      <w:pPr>
        <w:pStyle w:val="TextBody"/>
        <w:bidi w:val="0"/>
        <w:spacing w:before="0" w:after="0"/>
        <w:jc w:val="both"/>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24"/>
          <w:bdr w:val="single" w:sz="2" w:space="1" w:color="000000"/>
        </w:rPr>
      </w:pPr>
      <w:r>
        <w:rPr>
          <w:rFonts w:ascii="Times New Roman" w:hAnsi="Times New Roman"/>
          <w:i/>
          <w:sz w:val="18"/>
          <w:bdr w:val="single" w:sz="2" w:space="1" w:color="000000"/>
        </w:rPr>
        <w:t xml:space="preserve">Net sales:  </w:t>
      </w:r>
      <w:r>
        <w:rPr>
          <w:rFonts w:ascii="Times New Roman" w:hAnsi="Times New Roman"/>
          <w:sz w:val="18"/>
          <w:bdr w:val="single" w:sz="2" w:space="1" w:color="000000"/>
        </w:rPr>
        <w:t>The net sales increase included revenue from the Transaction of $1,145 million partially offset by decreased selling prices of $45 million primarily due to the pass-through of lower raw material costs, a $32 million unfavorable impact from foreign currency changes and a 2% organic volume decline, that was attributed to general market softness in Europe and competitive pressures from imports in South America.</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24"/>
          <w:bdr w:val="single" w:sz="2" w:space="1" w:color="000000"/>
        </w:rPr>
      </w:pPr>
      <w:r>
        <w:rPr>
          <w:rFonts w:ascii="Times New Roman" w:hAnsi="Times New Roman"/>
          <w:i/>
          <w:sz w:val="18"/>
          <w:bdr w:val="single" w:sz="2" w:space="1" w:color="000000"/>
        </w:rPr>
        <w:t>Operating income (loss): </w:t>
      </w:r>
      <w:r>
        <w:rPr>
          <w:rFonts w:ascii="Times New Roman" w:hAnsi="Times New Roman"/>
          <w:sz w:val="18"/>
          <w:bdr w:val="single" w:sz="2" w:space="1" w:color="000000"/>
        </w:rPr>
        <w:t>The operating income improvement is primarily attributed to the $171 million goodwill impairment charge in fiscal 2024, the elimination of $18 million in corporate expense allocations, an $11 million favorable change from prior year hyperinflation in Argentina, and operating income from GLT, partially offset by a $16 million inventory fair value step-up charge related to the Transaction, a $25 million unfavorable impact from increased business integration costs, a $12 million increase in stock compensation expense, and an unfavorable impact from volume declines.</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8</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tbl>
      <w:tblPr>
        <w:tblW w:w="6479" w:type="dxa"/>
        <w:jc w:val="left"/>
        <w:tblInd w:w="0" w:type="dxa"/>
        <w:tblLayout w:type="fixed"/>
        <w:tblCellMar>
          <w:top w:w="0" w:type="dxa"/>
          <w:left w:w="0" w:type="dxa"/>
          <w:bottom w:w="0" w:type="dxa"/>
          <w:right w:w="0" w:type="dxa"/>
        </w:tblCellMar>
      </w:tblPr>
      <w:tblGrid>
        <w:gridCol w:w="2870"/>
        <w:gridCol w:w="176"/>
        <w:gridCol w:w="300"/>
        <w:gridCol w:w="93"/>
        <w:gridCol w:w="93"/>
        <w:gridCol w:w="176"/>
        <w:gridCol w:w="331"/>
        <w:gridCol w:w="93"/>
        <w:gridCol w:w="90"/>
        <w:gridCol w:w="316"/>
        <w:gridCol w:w="539"/>
        <w:gridCol w:w="168"/>
        <w:gridCol w:w="90"/>
        <w:gridCol w:w="129"/>
        <w:gridCol w:w="594"/>
        <w:gridCol w:w="421"/>
      </w:tblGrid>
      <w:tr>
        <w:trPr/>
        <w:tc>
          <w:tcPr>
            <w:tcW w:w="287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ind w:left="0" w:right="0" w:hanging="180"/>
              <w:jc w:val="left"/>
              <w:rPr/>
            </w:pPr>
            <w:r>
              <w:rPr>
                <w:b/>
                <w:i/>
              </w:rPr>
              <w:t>Other expense (income), net</w:t>
            </w:r>
            <w:r>
              <w:rPr/>
              <w:t xml:space="preserve"> </w:t>
            </w:r>
          </w:p>
        </w:tc>
        <w:tc>
          <w:tcPr>
            <w:tcW w:w="1262" w:type="dxa"/>
            <w:gridSpan w:val="7"/>
            <w:tcBorders>
              <w:bottom w:val="single" w:sz="2" w:space="0" w:color="000000"/>
            </w:tcBorders>
            <w:tcMar>
              <w:bottom w:w="28" w:type="dxa"/>
            </w:tcMar>
            <w:vAlign w:val="center"/>
          </w:tcPr>
          <w:p>
            <w:pPr>
              <w:pStyle w:val="TableContents"/>
              <w:bidi w:val="0"/>
              <w:spacing w:before="0" w:after="283"/>
              <w:jc w:val="center"/>
              <w:rPr/>
            </w:pPr>
            <w:r>
              <w:rPr>
                <w:b/>
              </w:rPr>
              <w:t>Fiscal Year</w:t>
            </w:r>
            <w:r>
              <w:rPr/>
              <w:t xml:space="preserve"> </w:t>
            </w:r>
          </w:p>
        </w:tc>
        <w:tc>
          <w:tcPr>
            <w:tcW w:w="90" w:type="dxa"/>
            <w:tcBorders/>
            <w:vAlign w:val="center"/>
          </w:tcPr>
          <w:p>
            <w:pPr>
              <w:pStyle w:val="TableContents"/>
              <w:bidi w:val="0"/>
              <w:spacing w:before="0" w:after="283"/>
              <w:jc w:val="left"/>
              <w:rPr/>
            </w:pPr>
            <w:r>
              <w:rPr/>
              <w:t> </w:t>
            </w:r>
          </w:p>
        </w:tc>
        <w:tc>
          <w:tcPr>
            <w:tcW w:w="1023"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3"/>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569"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2025</w:t>
            </w:r>
          </w:p>
        </w:tc>
        <w:tc>
          <w:tcPr>
            <w:tcW w:w="93" w:type="dxa"/>
            <w:tcBorders>
              <w:top w:val="single" w:sz="8" w:space="0" w:color="000000"/>
            </w:tcBorders>
            <w:tcMar>
              <w:top w:w="28" w:type="dxa"/>
            </w:tcMar>
            <w:vAlign w:val="center"/>
          </w:tcPr>
          <w:p>
            <w:pPr>
              <w:pStyle w:val="TableContents"/>
              <w:bidi w:val="0"/>
              <w:spacing w:before="0" w:after="283"/>
              <w:jc w:val="left"/>
              <w:rPr/>
            </w:pPr>
            <w:r>
              <w:rPr/>
              <w:t> </w:t>
            </w:r>
          </w:p>
        </w:tc>
        <w:tc>
          <w:tcPr>
            <w:tcW w:w="60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2024</w:t>
            </w:r>
          </w:p>
        </w:tc>
        <w:tc>
          <w:tcPr>
            <w:tcW w:w="90" w:type="dxa"/>
            <w:tcBorders/>
            <w:vAlign w:val="center"/>
          </w:tcPr>
          <w:p>
            <w:pPr>
              <w:pStyle w:val="TableContents"/>
              <w:bidi w:val="0"/>
              <w:spacing w:before="0" w:after="283"/>
              <w:jc w:val="left"/>
              <w:rPr/>
            </w:pPr>
            <w:r>
              <w:rPr/>
              <w:t> </w:t>
            </w:r>
          </w:p>
        </w:tc>
        <w:tc>
          <w:tcPr>
            <w:tcW w:w="1023" w:type="dxa"/>
            <w:gridSpan w:val="3"/>
            <w:tcBorders>
              <w:bottom w:val="single" w:sz="8" w:space="0" w:color="000000"/>
            </w:tcBorders>
            <w:tcMar>
              <w:bottom w:w="28" w:type="dxa"/>
            </w:tcMar>
            <w:vAlign w:val="center"/>
          </w:tcPr>
          <w:p>
            <w:pPr>
              <w:pStyle w:val="TableContents"/>
              <w:bidi w:val="0"/>
              <w:spacing w:before="0" w:after="283"/>
              <w:jc w:val="center"/>
              <w:rPr/>
            </w:pPr>
            <w:r>
              <w:rPr/>
              <w:t xml:space="preserve">$ Change </w:t>
            </w:r>
          </w:p>
        </w:tc>
        <w:tc>
          <w:tcPr>
            <w:tcW w:w="90" w:type="dxa"/>
            <w:tcBorders/>
            <w:vAlign w:val="center"/>
          </w:tcPr>
          <w:p>
            <w:pPr>
              <w:pStyle w:val="TableContents"/>
              <w:bidi w:val="0"/>
              <w:spacing w:before="0" w:after="283"/>
              <w:jc w:val="left"/>
              <w:rPr/>
            </w:pPr>
            <w:r>
              <w:rPr/>
              <w:t> </w:t>
            </w:r>
          </w:p>
        </w:tc>
        <w:tc>
          <w:tcPr>
            <w:tcW w:w="1144" w:type="dxa"/>
            <w:gridSpan w:val="3"/>
            <w:tcBorders>
              <w:bottom w:val="single" w:sz="8" w:space="0" w:color="000000"/>
            </w:tcBorders>
            <w:tcMar>
              <w:bottom w:w="28" w:type="dxa"/>
            </w:tcMar>
            <w:vAlign w:val="center"/>
          </w:tcPr>
          <w:p>
            <w:pPr>
              <w:pStyle w:val="TableContents"/>
              <w:bidi w:val="0"/>
              <w:spacing w:before="0" w:after="283"/>
              <w:jc w:val="center"/>
              <w:rPr/>
            </w:pPr>
            <w:r>
              <w:rPr/>
              <w:t xml:space="preserve">% Change </w:t>
            </w:r>
          </w:p>
        </w:tc>
      </w:tr>
      <w:tr>
        <w:trPr/>
        <w:tc>
          <w:tcPr>
            <w:tcW w:w="2870" w:type="dxa"/>
            <w:tcBorders/>
            <w:vAlign w:val="center"/>
          </w:tcPr>
          <w:p>
            <w:pPr>
              <w:pStyle w:val="TableContents"/>
              <w:bidi w:val="0"/>
              <w:spacing w:before="0" w:after="0"/>
              <w:ind w:left="0" w:right="0" w:hanging="180"/>
              <w:jc w:val="left"/>
              <w:rPr/>
            </w:pPr>
            <w:r>
              <w:rPr/>
              <w:t xml:space="preserve">Other expense (income), net </w:t>
            </w:r>
          </w:p>
        </w:tc>
        <w:tc>
          <w:tcPr>
            <w:tcW w:w="176" w:type="dxa"/>
            <w:tcBorders/>
            <w:vAlign w:val="center"/>
          </w:tcPr>
          <w:p>
            <w:pPr>
              <w:pStyle w:val="TableContents"/>
              <w:bidi w:val="0"/>
              <w:spacing w:before="0" w:after="283"/>
              <w:jc w:val="left"/>
              <w:rPr>
                <w:b/>
              </w:rPr>
            </w:pPr>
            <w:r>
              <w:rPr>
                <w:b/>
              </w:rPr>
              <w:t>$</w:t>
            </w:r>
          </w:p>
        </w:tc>
        <w:tc>
          <w:tcPr>
            <w:tcW w:w="300" w:type="dxa"/>
            <w:tcBorders/>
            <w:vAlign w:val="center"/>
          </w:tcPr>
          <w:p>
            <w:pPr>
              <w:pStyle w:val="TableContents"/>
              <w:bidi w:val="0"/>
              <w:spacing w:before="0" w:after="283"/>
              <w:jc w:val="right"/>
              <w:rPr>
                <w:b/>
              </w:rPr>
            </w:pPr>
            <w:r>
              <w:rPr>
                <w:b/>
              </w:rPr>
              <w:t>30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331" w:type="dxa"/>
            <w:tcBorders/>
            <w:vAlign w:val="center"/>
          </w:tcPr>
          <w:p>
            <w:pPr>
              <w:pStyle w:val="TableContents"/>
              <w:bidi w:val="0"/>
              <w:spacing w:before="0" w:after="283"/>
              <w:jc w:val="right"/>
              <w:rPr/>
            </w:pPr>
            <w:r>
              <w:rPr/>
              <w:t>(9)</w:t>
            </w:r>
          </w:p>
        </w:tc>
        <w:tc>
          <w:tcPr>
            <w:tcW w:w="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539" w:type="dxa"/>
            <w:tcBorders/>
            <w:vAlign w:val="center"/>
          </w:tcPr>
          <w:p>
            <w:pPr>
              <w:pStyle w:val="TableContents"/>
              <w:bidi w:val="0"/>
              <w:spacing w:before="0" w:after="283"/>
              <w:jc w:val="right"/>
              <w:rPr/>
            </w:pPr>
            <w:r>
              <w:rPr/>
              <w:t>39</w:t>
            </w:r>
          </w:p>
        </w:tc>
        <w:tc>
          <w:tcPr>
            <w:tcW w:w="1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433</w:t>
            </w:r>
          </w:p>
        </w:tc>
        <w:tc>
          <w:tcPr>
            <w:tcW w:w="421" w:type="dxa"/>
            <w:tcBorders/>
            <w:vAlign w:val="center"/>
          </w:tcPr>
          <w:p>
            <w:pPr>
              <w:pStyle w:val="TableContents"/>
              <w:bidi w:val="0"/>
              <w:spacing w:before="0" w:after="283"/>
              <w:jc w:val="left"/>
              <w:rPr/>
            </w:pPr>
            <w:r>
              <w:rPr/>
              <w:t>%</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The Other expense (income) increase is due to a $15 million prepayment penalty charge for retiring debt concurrently with the Transaction, $8 million of non-cash charges associated with pre-Transaction tax liabilities, and a $12 million unfavorable change in currency charges related to intercompany loans.</w:t>
      </w:r>
    </w:p>
    <w:p>
      <w:pPr>
        <w:pStyle w:val="TextBody"/>
        <w:bidi w:val="0"/>
        <w:spacing w:before="0" w:after="0"/>
        <w:ind w:left="0" w:right="0" w:hanging="0"/>
        <w:jc w:val="left"/>
        <w:rPr>
          <w:bdr w:val="single" w:sz="2" w:space="1" w:color="000000"/>
        </w:rPr>
      </w:pPr>
      <w:r>
        <w:rPr>
          <w:bdr w:val="single" w:sz="2" w:space="1" w:color="000000"/>
        </w:rPr>
        <w:t> </w:t>
      </w:r>
    </w:p>
    <w:tbl>
      <w:tblPr>
        <w:tblW w:w="5803" w:type="dxa"/>
        <w:jc w:val="left"/>
        <w:tblInd w:w="0" w:type="dxa"/>
        <w:tblLayout w:type="fixed"/>
        <w:tblCellMar>
          <w:top w:w="0" w:type="dxa"/>
          <w:left w:w="0" w:type="dxa"/>
          <w:bottom w:w="0" w:type="dxa"/>
          <w:right w:w="0" w:type="dxa"/>
        </w:tblCellMar>
      </w:tblPr>
      <w:tblGrid>
        <w:gridCol w:w="2120"/>
        <w:gridCol w:w="180"/>
        <w:gridCol w:w="435"/>
        <w:gridCol w:w="95"/>
        <w:gridCol w:w="95"/>
        <w:gridCol w:w="209"/>
        <w:gridCol w:w="209"/>
        <w:gridCol w:w="112"/>
        <w:gridCol w:w="90"/>
        <w:gridCol w:w="259"/>
        <w:gridCol w:w="626"/>
        <w:gridCol w:w="139"/>
        <w:gridCol w:w="90"/>
        <w:gridCol w:w="105"/>
        <w:gridCol w:w="695"/>
        <w:gridCol w:w="344"/>
      </w:tblGrid>
      <w:tr>
        <w:trPr/>
        <w:tc>
          <w:tcPr>
            <w:tcW w:w="2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ind w:left="0" w:right="0" w:hanging="180"/>
              <w:jc w:val="left"/>
              <w:rPr/>
            </w:pPr>
            <w:r>
              <w:rPr>
                <w:b/>
                <w:i/>
              </w:rPr>
              <w:t>Interest expense, net</w:t>
            </w:r>
            <w:r>
              <w:rPr/>
              <w:t xml:space="preserve"> </w:t>
            </w:r>
          </w:p>
        </w:tc>
        <w:tc>
          <w:tcPr>
            <w:tcW w:w="1335" w:type="dxa"/>
            <w:gridSpan w:val="7"/>
            <w:tcBorders>
              <w:bottom w:val="single" w:sz="2" w:space="0" w:color="000000"/>
            </w:tcBorders>
            <w:tcMar>
              <w:bottom w:w="28" w:type="dxa"/>
            </w:tcMar>
            <w:vAlign w:val="center"/>
          </w:tcPr>
          <w:p>
            <w:pPr>
              <w:pStyle w:val="TableContents"/>
              <w:bidi w:val="0"/>
              <w:spacing w:before="0" w:after="283"/>
              <w:jc w:val="center"/>
              <w:rPr/>
            </w:pPr>
            <w:r>
              <w:rPr>
                <w:b/>
              </w:rPr>
              <w:t>Fiscal Year</w:t>
            </w:r>
            <w:r>
              <w:rPr/>
              <w:t xml:space="preserve"> </w:t>
            </w:r>
          </w:p>
        </w:tc>
        <w:tc>
          <w:tcPr>
            <w:tcW w:w="90" w:type="dxa"/>
            <w:tcBorders/>
            <w:vAlign w:val="center"/>
          </w:tcPr>
          <w:p>
            <w:pPr>
              <w:pStyle w:val="TableContents"/>
              <w:bidi w:val="0"/>
              <w:spacing w:before="0" w:after="283"/>
              <w:jc w:val="left"/>
              <w:rPr/>
            </w:pPr>
            <w:r>
              <w:rPr/>
              <w:t> </w:t>
            </w:r>
          </w:p>
        </w:tc>
        <w:tc>
          <w:tcPr>
            <w:tcW w:w="1024"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3"/>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71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2025</w:t>
            </w:r>
          </w:p>
        </w:tc>
        <w:tc>
          <w:tcPr>
            <w:tcW w:w="95" w:type="dxa"/>
            <w:tcBorders>
              <w:top w:val="single" w:sz="8" w:space="0" w:color="000000"/>
            </w:tcBorders>
            <w:tcMar>
              <w:top w:w="28" w:type="dxa"/>
            </w:tcMar>
            <w:vAlign w:val="center"/>
          </w:tcPr>
          <w:p>
            <w:pPr>
              <w:pStyle w:val="TableContents"/>
              <w:bidi w:val="0"/>
              <w:spacing w:before="0" w:after="283"/>
              <w:jc w:val="left"/>
              <w:rPr/>
            </w:pPr>
            <w:r>
              <w:rPr/>
              <w:t> </w:t>
            </w:r>
          </w:p>
        </w:tc>
        <w:tc>
          <w:tcPr>
            <w:tcW w:w="53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2024</w:t>
            </w:r>
          </w:p>
        </w:tc>
        <w:tc>
          <w:tcPr>
            <w:tcW w:w="90" w:type="dxa"/>
            <w:tcBorders/>
            <w:vAlign w:val="center"/>
          </w:tcPr>
          <w:p>
            <w:pPr>
              <w:pStyle w:val="TableContents"/>
              <w:bidi w:val="0"/>
              <w:spacing w:before="0" w:after="283"/>
              <w:jc w:val="left"/>
              <w:rPr/>
            </w:pPr>
            <w:r>
              <w:rPr/>
              <w:t> </w:t>
            </w:r>
          </w:p>
        </w:tc>
        <w:tc>
          <w:tcPr>
            <w:tcW w:w="1024" w:type="dxa"/>
            <w:gridSpan w:val="3"/>
            <w:tcBorders>
              <w:bottom w:val="single" w:sz="8" w:space="0" w:color="000000"/>
            </w:tcBorders>
            <w:tcMar>
              <w:bottom w:w="28" w:type="dxa"/>
            </w:tcMar>
            <w:vAlign w:val="center"/>
          </w:tcPr>
          <w:p>
            <w:pPr>
              <w:pStyle w:val="TableContents"/>
              <w:bidi w:val="0"/>
              <w:spacing w:before="0" w:after="283"/>
              <w:jc w:val="center"/>
              <w:rPr/>
            </w:pPr>
            <w:r>
              <w:rPr/>
              <w:t xml:space="preserve">$ Change </w:t>
            </w:r>
          </w:p>
        </w:tc>
        <w:tc>
          <w:tcPr>
            <w:tcW w:w="90" w:type="dxa"/>
            <w:tcBorders/>
            <w:vAlign w:val="center"/>
          </w:tcPr>
          <w:p>
            <w:pPr>
              <w:pStyle w:val="TableContents"/>
              <w:bidi w:val="0"/>
              <w:spacing w:before="0" w:after="283"/>
              <w:jc w:val="left"/>
              <w:rPr/>
            </w:pPr>
            <w:r>
              <w:rPr/>
              <w:t> </w:t>
            </w:r>
          </w:p>
        </w:tc>
        <w:tc>
          <w:tcPr>
            <w:tcW w:w="1144" w:type="dxa"/>
            <w:gridSpan w:val="3"/>
            <w:tcBorders>
              <w:bottom w:val="single" w:sz="8" w:space="0" w:color="000000"/>
            </w:tcBorders>
            <w:tcMar>
              <w:bottom w:w="28" w:type="dxa"/>
            </w:tcMar>
            <w:vAlign w:val="center"/>
          </w:tcPr>
          <w:p>
            <w:pPr>
              <w:pStyle w:val="TableContents"/>
              <w:bidi w:val="0"/>
              <w:spacing w:before="0" w:after="283"/>
              <w:jc w:val="center"/>
              <w:rPr/>
            </w:pPr>
            <w:r>
              <w:rPr/>
              <w:t xml:space="preserve">% Change </w:t>
            </w:r>
          </w:p>
        </w:tc>
      </w:tr>
      <w:tr>
        <w:trPr/>
        <w:tc>
          <w:tcPr>
            <w:tcW w:w="2120" w:type="dxa"/>
            <w:tcBorders/>
            <w:vAlign w:val="center"/>
          </w:tcPr>
          <w:p>
            <w:pPr>
              <w:pStyle w:val="TableContents"/>
              <w:bidi w:val="0"/>
              <w:spacing w:before="0" w:after="0"/>
              <w:ind w:left="0" w:right="0" w:hanging="180"/>
              <w:jc w:val="left"/>
              <w:rPr/>
            </w:pPr>
            <w:r>
              <w:rPr/>
              <w:t xml:space="preserve">Interest expense, net </w:t>
            </w:r>
          </w:p>
        </w:tc>
        <w:tc>
          <w:tcPr>
            <w:tcW w:w="180" w:type="dxa"/>
            <w:tcBorders/>
            <w:vAlign w:val="center"/>
          </w:tcPr>
          <w:p>
            <w:pPr>
              <w:pStyle w:val="TableContents"/>
              <w:bidi w:val="0"/>
              <w:spacing w:before="0" w:after="283"/>
              <w:jc w:val="left"/>
              <w:rPr>
                <w:b/>
              </w:rPr>
            </w:pPr>
            <w:r>
              <w:rPr>
                <w:b/>
              </w:rPr>
              <w:t>$</w:t>
            </w:r>
          </w:p>
        </w:tc>
        <w:tc>
          <w:tcPr>
            <w:tcW w:w="435" w:type="dxa"/>
            <w:tcBorders/>
            <w:vAlign w:val="center"/>
          </w:tcPr>
          <w:p>
            <w:pPr>
              <w:pStyle w:val="TableContents"/>
              <w:bidi w:val="0"/>
              <w:spacing w:before="0" w:after="283"/>
              <w:jc w:val="right"/>
              <w:rPr>
                <w:b/>
              </w:rPr>
            </w:pPr>
            <w:r>
              <w:rPr>
                <w:b/>
              </w:rPr>
              <w:t>141</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3</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626" w:type="dxa"/>
            <w:tcBorders/>
            <w:vAlign w:val="center"/>
          </w:tcPr>
          <w:p>
            <w:pPr>
              <w:pStyle w:val="TableContents"/>
              <w:bidi w:val="0"/>
              <w:spacing w:before="0" w:after="283"/>
              <w:jc w:val="right"/>
              <w:rPr/>
            </w:pPr>
            <w:r>
              <w:rPr/>
              <w:t>138</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4,600</w:t>
            </w:r>
          </w:p>
        </w:tc>
        <w:tc>
          <w:tcPr>
            <w:tcW w:w="344"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The Interest expense increase is due to increased borrowings from the Transaction.</w:t>
      </w:r>
    </w:p>
    <w:p>
      <w:pPr>
        <w:pStyle w:val="TextBody"/>
        <w:bidi w:val="0"/>
        <w:spacing w:before="0" w:after="0"/>
        <w:ind w:left="0" w:right="0" w:hanging="0"/>
        <w:jc w:val="left"/>
        <w:rPr>
          <w:bdr w:val="single" w:sz="2" w:space="1" w:color="000000"/>
        </w:rPr>
      </w:pPr>
      <w:r>
        <w:rPr>
          <w:bdr w:val="single" w:sz="2" w:space="1" w:color="000000"/>
        </w:rPr>
        <w:t> </w:t>
      </w:r>
    </w:p>
    <w:tbl>
      <w:tblPr>
        <w:tblW w:w="7053" w:type="dxa"/>
        <w:jc w:val="left"/>
        <w:tblInd w:w="0" w:type="dxa"/>
        <w:tblLayout w:type="fixed"/>
        <w:tblCellMar>
          <w:top w:w="0" w:type="dxa"/>
          <w:left w:w="0" w:type="dxa"/>
          <w:bottom w:w="0" w:type="dxa"/>
          <w:right w:w="0" w:type="dxa"/>
        </w:tblCellMar>
      </w:tblPr>
      <w:tblGrid>
        <w:gridCol w:w="2975"/>
        <w:gridCol w:w="170"/>
        <w:gridCol w:w="560"/>
        <w:gridCol w:w="90"/>
        <w:gridCol w:w="90"/>
        <w:gridCol w:w="170"/>
        <w:gridCol w:w="560"/>
        <w:gridCol w:w="90"/>
        <w:gridCol w:w="90"/>
        <w:gridCol w:w="278"/>
        <w:gridCol w:w="598"/>
        <w:gridCol w:w="148"/>
        <w:gridCol w:w="90"/>
        <w:gridCol w:w="138"/>
        <w:gridCol w:w="560"/>
        <w:gridCol w:w="446"/>
      </w:tblGrid>
      <w:tr>
        <w:trPr/>
        <w:tc>
          <w:tcPr>
            <w:tcW w:w="29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ind w:left="0" w:right="0" w:hanging="180"/>
              <w:jc w:val="left"/>
              <w:rPr/>
            </w:pPr>
            <w:r>
              <w:rPr>
                <w:b/>
                <w:i/>
              </w:rPr>
              <w:t>Comprehensive income (loss)</w:t>
            </w:r>
            <w:r>
              <w:rPr/>
              <w:t xml:space="preserve"> </w:t>
            </w:r>
          </w:p>
        </w:tc>
        <w:tc>
          <w:tcPr>
            <w:tcW w:w="1730" w:type="dxa"/>
            <w:gridSpan w:val="7"/>
            <w:tcBorders>
              <w:bottom w:val="single" w:sz="2" w:space="0" w:color="000000"/>
            </w:tcBorders>
            <w:tcMar>
              <w:bottom w:w="28" w:type="dxa"/>
            </w:tcMar>
            <w:vAlign w:val="center"/>
          </w:tcPr>
          <w:p>
            <w:pPr>
              <w:pStyle w:val="TableContents"/>
              <w:bidi w:val="0"/>
              <w:spacing w:before="0" w:after="283"/>
              <w:jc w:val="center"/>
              <w:rPr/>
            </w:pPr>
            <w:r>
              <w:rPr>
                <w:b/>
              </w:rPr>
              <w:t>Fiscal Year</w:t>
            </w:r>
            <w:r>
              <w:rPr/>
              <w:t xml:space="preserve"> </w:t>
            </w:r>
          </w:p>
        </w:tc>
        <w:tc>
          <w:tcPr>
            <w:tcW w:w="90" w:type="dxa"/>
            <w:tcBorders/>
            <w:vAlign w:val="center"/>
          </w:tcPr>
          <w:p>
            <w:pPr>
              <w:pStyle w:val="TableContents"/>
              <w:bidi w:val="0"/>
              <w:spacing w:before="0" w:after="283"/>
              <w:jc w:val="left"/>
              <w:rPr/>
            </w:pPr>
            <w:r>
              <w:rPr/>
              <w:t> </w:t>
            </w:r>
          </w:p>
        </w:tc>
        <w:tc>
          <w:tcPr>
            <w:tcW w:w="1024"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3"/>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82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2025</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82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2024</w:t>
            </w:r>
          </w:p>
        </w:tc>
        <w:tc>
          <w:tcPr>
            <w:tcW w:w="90" w:type="dxa"/>
            <w:tcBorders/>
            <w:vAlign w:val="center"/>
          </w:tcPr>
          <w:p>
            <w:pPr>
              <w:pStyle w:val="TableContents"/>
              <w:bidi w:val="0"/>
              <w:spacing w:before="0" w:after="283"/>
              <w:jc w:val="left"/>
              <w:rPr/>
            </w:pPr>
            <w:r>
              <w:rPr/>
              <w:t> </w:t>
            </w:r>
          </w:p>
        </w:tc>
        <w:tc>
          <w:tcPr>
            <w:tcW w:w="1024" w:type="dxa"/>
            <w:gridSpan w:val="3"/>
            <w:tcBorders>
              <w:bottom w:val="single" w:sz="8" w:space="0" w:color="000000"/>
            </w:tcBorders>
            <w:tcMar>
              <w:bottom w:w="28" w:type="dxa"/>
            </w:tcMar>
            <w:vAlign w:val="center"/>
          </w:tcPr>
          <w:p>
            <w:pPr>
              <w:pStyle w:val="TableContents"/>
              <w:bidi w:val="0"/>
              <w:spacing w:before="0" w:after="283"/>
              <w:jc w:val="center"/>
              <w:rPr/>
            </w:pPr>
            <w:r>
              <w:rPr/>
              <w:t xml:space="preserve">$ Change </w:t>
            </w:r>
          </w:p>
        </w:tc>
        <w:tc>
          <w:tcPr>
            <w:tcW w:w="90" w:type="dxa"/>
            <w:tcBorders/>
            <w:vAlign w:val="center"/>
          </w:tcPr>
          <w:p>
            <w:pPr>
              <w:pStyle w:val="TableContents"/>
              <w:bidi w:val="0"/>
              <w:spacing w:before="0" w:after="283"/>
              <w:jc w:val="left"/>
              <w:rPr/>
            </w:pPr>
            <w:r>
              <w:rPr/>
              <w:t> </w:t>
            </w:r>
          </w:p>
        </w:tc>
        <w:tc>
          <w:tcPr>
            <w:tcW w:w="1144" w:type="dxa"/>
            <w:gridSpan w:val="3"/>
            <w:tcBorders>
              <w:bottom w:val="single" w:sz="8" w:space="0" w:color="000000"/>
            </w:tcBorders>
            <w:tcMar>
              <w:bottom w:w="28" w:type="dxa"/>
            </w:tcMar>
            <w:vAlign w:val="center"/>
          </w:tcPr>
          <w:p>
            <w:pPr>
              <w:pStyle w:val="TableContents"/>
              <w:bidi w:val="0"/>
              <w:spacing w:before="0" w:after="283"/>
              <w:jc w:val="center"/>
              <w:rPr/>
            </w:pPr>
            <w:r>
              <w:rPr/>
              <w:t xml:space="preserve">% Change </w:t>
            </w:r>
          </w:p>
        </w:tc>
      </w:tr>
      <w:tr>
        <w:trPr/>
        <w:tc>
          <w:tcPr>
            <w:tcW w:w="2975" w:type="dxa"/>
            <w:tcBorders/>
            <w:vAlign w:val="center"/>
          </w:tcPr>
          <w:p>
            <w:pPr>
              <w:pStyle w:val="TableContents"/>
              <w:bidi w:val="0"/>
              <w:spacing w:before="0" w:after="0"/>
              <w:ind w:left="0" w:right="0" w:hanging="180"/>
              <w:jc w:val="left"/>
              <w:rPr/>
            </w:pPr>
            <w:r>
              <w:rPr/>
              <w:t xml:space="preserve">Comprehensive income (loss) </w:t>
            </w:r>
          </w:p>
        </w:tc>
        <w:tc>
          <w:tcPr>
            <w:tcW w:w="170" w:type="dxa"/>
            <w:tcBorders/>
            <w:vAlign w:val="center"/>
          </w:tcPr>
          <w:p>
            <w:pPr>
              <w:pStyle w:val="TableContents"/>
              <w:bidi w:val="0"/>
              <w:spacing w:before="0" w:after="283"/>
              <w:jc w:val="left"/>
              <w:rPr>
                <w:b/>
              </w:rPr>
            </w:pPr>
            <w:r>
              <w:rPr>
                <w:b/>
              </w:rPr>
              <w:t>$</w:t>
            </w:r>
          </w:p>
        </w:tc>
        <w:tc>
          <w:tcPr>
            <w:tcW w:w="560" w:type="dxa"/>
            <w:tcBorders/>
            <w:vAlign w:val="center"/>
          </w:tcPr>
          <w:p>
            <w:pPr>
              <w:pStyle w:val="TableContents"/>
              <w:bidi w:val="0"/>
              <w:spacing w:before="0" w:after="283"/>
              <w:jc w:val="right"/>
              <w:rPr>
                <w:b/>
              </w:rPr>
            </w:pPr>
            <w:r>
              <w:rPr>
                <w:b/>
              </w:rPr>
              <w:t>(186)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w:t>
            </w:r>
          </w:p>
        </w:tc>
        <w:tc>
          <w:tcPr>
            <w:tcW w:w="598" w:type="dxa"/>
            <w:tcBorders/>
            <w:vAlign w:val="center"/>
          </w:tcPr>
          <w:p>
            <w:pPr>
              <w:pStyle w:val="TableContents"/>
              <w:bidi w:val="0"/>
              <w:spacing w:before="0" w:after="283"/>
              <w:jc w:val="right"/>
              <w:rPr/>
            </w:pPr>
            <w:r>
              <w:rPr/>
              <w:t>(35)</w:t>
            </w:r>
          </w:p>
        </w:tc>
        <w:tc>
          <w:tcPr>
            <w:tcW w:w="1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(23)</w:t>
            </w:r>
          </w:p>
        </w:tc>
        <w:tc>
          <w:tcPr>
            <w:tcW w:w="446"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pacing w:val="0"/>
          <w:sz w:val="18"/>
          <w:bdr w:val="single" w:sz="2" w:space="1" w:color="000000"/>
        </w:rPr>
      </w:pPr>
      <w:r>
        <w:rPr>
          <w:rFonts w:ascii="Times New Roman" w:hAnsi="Times New Roman"/>
          <w:spacing w:val="0"/>
          <w:sz w:val="18"/>
          <w:bdr w:val="single" w:sz="2" w:space="1" w:color="000000"/>
        </w:rPr>
        <w:t>The decrease is primarily attributed to a $30 million unfavorable change in currency translation combined with a $5 million decline in net income.  Currency translation changes are primarily related to non-U.S. subsidiaries with a functional currency other than the U.S. dollar whereby assets and liabilities are translated from the respective functional currency into U.S. dollars using period-end exchange rates.  The change in currency translation was primarily attributed to locations utilizing the euro or Brazilian real as their functional currency. As part of its overall risk management, the Company uses derivative instruments to reduce foreign currency exposure to translation of certain foreign operations.  The Company records changes to the fair value of these instruments in Accumulated other comprehensive loss.  The change in fair value of these instruments in the year is primarily attributed to the change in the forward foreign currency exchange curves between measurement dates.</w:t>
      </w:r>
    </w:p>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ind w:left="0" w:right="0" w:hanging="180"/>
        <w:jc w:val="left"/>
        <w:rPr>
          <w:rFonts w:ascii="Times New Roman" w:hAnsi="Times New Roman"/>
          <w:b/>
          <w:i/>
          <w:spacing w:val="0"/>
          <w:sz w:val="18"/>
          <w:bdr w:val="single" w:sz="2" w:space="1" w:color="000000"/>
        </w:rPr>
      </w:pPr>
      <w:r>
        <w:rPr>
          <w:rFonts w:ascii="Times New Roman" w:hAnsi="Times New Roman"/>
          <w:b/>
          <w:i/>
          <w:spacing w:val="0"/>
          <w:sz w:val="18"/>
          <w:bdr w:val="single" w:sz="2" w:space="1" w:color="000000"/>
        </w:rPr>
        <w:t>Segment Overview</w:t>
      </w:r>
    </w:p>
    <w:p>
      <w:pPr>
        <w:pStyle w:val="TextBody"/>
        <w:bidi w:val="0"/>
        <w:spacing w:before="0" w:after="0"/>
        <w:jc w:val="left"/>
        <w:rPr>
          <w:bdr w:val="single" w:sz="2" w:space="1" w:color="000000"/>
        </w:rPr>
      </w:pPr>
      <w:r>
        <w:rPr>
          <w:bdr w:val="single" w:sz="2" w:space="1" w:color="000000"/>
        </w:rPr>
        <w:t> </w:t>
      </w:r>
    </w:p>
    <w:tbl>
      <w:tblPr>
        <w:tblW w:w="6018" w:type="dxa"/>
        <w:jc w:val="left"/>
        <w:tblInd w:w="0" w:type="dxa"/>
        <w:tblLayout w:type="fixed"/>
        <w:tblCellMar>
          <w:top w:w="0" w:type="dxa"/>
          <w:left w:w="0" w:type="dxa"/>
          <w:bottom w:w="0" w:type="dxa"/>
          <w:right w:w="0" w:type="dxa"/>
        </w:tblCellMar>
      </w:tblPr>
      <w:tblGrid>
        <w:gridCol w:w="1880"/>
        <w:gridCol w:w="170"/>
        <w:gridCol w:w="590"/>
        <w:gridCol w:w="90"/>
        <w:gridCol w:w="90"/>
        <w:gridCol w:w="170"/>
        <w:gridCol w:w="590"/>
        <w:gridCol w:w="90"/>
        <w:gridCol w:w="90"/>
        <w:gridCol w:w="259"/>
        <w:gridCol w:w="626"/>
        <w:gridCol w:w="139"/>
        <w:gridCol w:w="90"/>
        <w:gridCol w:w="153"/>
        <w:gridCol w:w="494"/>
        <w:gridCol w:w="497"/>
      </w:tblGrid>
      <w:tr>
        <w:trPr/>
        <w:tc>
          <w:tcPr>
            <w:tcW w:w="18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jc w:val="left"/>
              <w:rPr/>
            </w:pPr>
            <w:r>
              <w:rPr>
                <w:b/>
                <w:i/>
              </w:rPr>
              <w:t>Americas</w:t>
            </w:r>
            <w:r>
              <w:rPr/>
              <w:t xml:space="preserve"> </w:t>
            </w:r>
          </w:p>
        </w:tc>
        <w:tc>
          <w:tcPr>
            <w:tcW w:w="1790" w:type="dxa"/>
            <w:gridSpan w:val="7"/>
            <w:tcBorders/>
            <w:vAlign w:val="center"/>
          </w:tcPr>
          <w:p>
            <w:pPr>
              <w:pStyle w:val="TableContents"/>
              <w:bidi w:val="0"/>
              <w:spacing w:before="0" w:after="283"/>
              <w:jc w:val="center"/>
              <w:rPr/>
            </w:pPr>
            <w:r>
              <w:rPr>
                <w:b/>
              </w:rPr>
              <w:t>Fiscal Year</w:t>
            </w:r>
            <w:r>
              <w:rPr/>
              <w:t xml:space="preserve"> </w:t>
            </w:r>
          </w:p>
        </w:tc>
        <w:tc>
          <w:tcPr>
            <w:tcW w:w="90" w:type="dxa"/>
            <w:tcBorders/>
            <w:vAlign w:val="center"/>
          </w:tcPr>
          <w:p>
            <w:pPr>
              <w:pStyle w:val="TableContents"/>
              <w:bidi w:val="0"/>
              <w:spacing w:before="0" w:after="283"/>
              <w:jc w:val="left"/>
              <w:rPr/>
            </w:pPr>
            <w:r>
              <w:rPr/>
              <w:t> </w:t>
            </w:r>
          </w:p>
        </w:tc>
        <w:tc>
          <w:tcPr>
            <w:tcW w:w="1024"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3"/>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85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2025</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85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2024</w:t>
            </w:r>
          </w:p>
        </w:tc>
        <w:tc>
          <w:tcPr>
            <w:tcW w:w="90" w:type="dxa"/>
            <w:tcBorders/>
            <w:vAlign w:val="center"/>
          </w:tcPr>
          <w:p>
            <w:pPr>
              <w:pStyle w:val="TableContents"/>
              <w:bidi w:val="0"/>
              <w:spacing w:before="0" w:after="283"/>
              <w:jc w:val="left"/>
              <w:rPr/>
            </w:pPr>
            <w:r>
              <w:rPr/>
              <w:t> </w:t>
            </w:r>
          </w:p>
        </w:tc>
        <w:tc>
          <w:tcPr>
            <w:tcW w:w="1024" w:type="dxa"/>
            <w:gridSpan w:val="3"/>
            <w:tcBorders>
              <w:bottom w:val="single" w:sz="8" w:space="0" w:color="000000"/>
            </w:tcBorders>
            <w:tcMar>
              <w:bottom w:w="28" w:type="dxa"/>
            </w:tcMar>
            <w:vAlign w:val="center"/>
          </w:tcPr>
          <w:p>
            <w:pPr>
              <w:pStyle w:val="TableContents"/>
              <w:bidi w:val="0"/>
              <w:spacing w:before="0" w:after="283"/>
              <w:jc w:val="center"/>
              <w:rPr/>
            </w:pPr>
            <w:r>
              <w:rPr/>
              <w:t xml:space="preserve">$ Change </w:t>
            </w:r>
          </w:p>
        </w:tc>
        <w:tc>
          <w:tcPr>
            <w:tcW w:w="90" w:type="dxa"/>
            <w:tcBorders/>
            <w:vAlign w:val="center"/>
          </w:tcPr>
          <w:p>
            <w:pPr>
              <w:pStyle w:val="TableContents"/>
              <w:bidi w:val="0"/>
              <w:spacing w:before="0" w:after="283"/>
              <w:jc w:val="left"/>
              <w:rPr/>
            </w:pPr>
            <w:r>
              <w:rPr/>
              <w:t> </w:t>
            </w:r>
          </w:p>
        </w:tc>
        <w:tc>
          <w:tcPr>
            <w:tcW w:w="1144" w:type="dxa"/>
            <w:gridSpan w:val="3"/>
            <w:tcBorders>
              <w:bottom w:val="single" w:sz="8" w:space="0" w:color="000000"/>
            </w:tcBorders>
            <w:tcMar>
              <w:bottom w:w="28" w:type="dxa"/>
            </w:tcMar>
            <w:vAlign w:val="center"/>
          </w:tcPr>
          <w:p>
            <w:pPr>
              <w:pStyle w:val="TableContents"/>
              <w:bidi w:val="0"/>
              <w:spacing w:before="0" w:after="283"/>
              <w:jc w:val="center"/>
              <w:rPr/>
            </w:pPr>
            <w:r>
              <w:rPr/>
              <w:t xml:space="preserve">% Change </w:t>
            </w:r>
          </w:p>
        </w:tc>
      </w:tr>
      <w:tr>
        <w:trPr/>
        <w:tc>
          <w:tcPr>
            <w:tcW w:w="1880" w:type="dxa"/>
            <w:tcBorders/>
            <w:vAlign w:val="center"/>
          </w:tcPr>
          <w:p>
            <w:pPr>
              <w:pStyle w:val="TableContents"/>
              <w:bidi w:val="0"/>
              <w:spacing w:before="0" w:after="0"/>
              <w:ind w:left="0" w:right="0" w:hanging="180"/>
              <w:jc w:val="left"/>
              <w:rPr/>
            </w:pPr>
            <w:r>
              <w:rPr/>
              <w:t xml:space="preserve">Net sales </w:t>
            </w:r>
          </w:p>
        </w:tc>
        <w:tc>
          <w:tcPr>
            <w:tcW w:w="170" w:type="dxa"/>
            <w:tcBorders/>
            <w:vAlign w:val="center"/>
          </w:tcPr>
          <w:p>
            <w:pPr>
              <w:pStyle w:val="TableContents"/>
              <w:bidi w:val="0"/>
              <w:spacing w:before="0" w:after="283"/>
              <w:jc w:val="left"/>
              <w:rPr>
                <w:b/>
              </w:rPr>
            </w:pPr>
            <w:r>
              <w:rPr>
                <w:b/>
              </w:rPr>
              <w:t>$</w:t>
            </w:r>
          </w:p>
        </w:tc>
        <w:tc>
          <w:tcPr>
            <w:tcW w:w="590" w:type="dxa"/>
            <w:tcBorders/>
            <w:vAlign w:val="center"/>
          </w:tcPr>
          <w:p>
            <w:pPr>
              <w:pStyle w:val="TableContents"/>
              <w:bidi w:val="0"/>
              <w:spacing w:before="0" w:after="283"/>
              <w:jc w:val="right"/>
              <w:rPr>
                <w:b/>
              </w:rPr>
            </w:pPr>
            <w:r>
              <w:rPr>
                <w:b/>
              </w:rPr>
              <w:t>1,833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1,493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626" w:type="dxa"/>
            <w:tcBorders/>
            <w:vAlign w:val="center"/>
          </w:tcPr>
          <w:p>
            <w:pPr>
              <w:pStyle w:val="TableContents"/>
              <w:bidi w:val="0"/>
              <w:spacing w:before="0" w:after="283"/>
              <w:jc w:val="right"/>
              <w:rPr/>
            </w:pPr>
            <w:r>
              <w:rPr/>
              <w:t>340</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right"/>
              <w:rPr/>
            </w:pPr>
            <w:r>
              <w:rPr/>
              <w:t>23</w:t>
            </w:r>
          </w:p>
        </w:tc>
        <w:tc>
          <w:tcPr>
            <w:tcW w:w="497"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0"/>
              <w:ind w:left="0" w:right="0" w:hanging="180"/>
              <w:jc w:val="left"/>
              <w:rPr/>
            </w:pPr>
            <w:r>
              <w:rPr/>
              <w:t>Adjusted EBITDA</w:t>
            </w:r>
          </w:p>
        </w:tc>
        <w:tc>
          <w:tcPr>
            <w:tcW w:w="170" w:type="dxa"/>
            <w:tcBorders/>
            <w:vAlign w:val="center"/>
          </w:tcPr>
          <w:p>
            <w:pPr>
              <w:pStyle w:val="TableContents"/>
              <w:bidi w:val="0"/>
              <w:spacing w:before="0" w:after="283"/>
              <w:jc w:val="left"/>
              <w:rPr>
                <w:b/>
              </w:rPr>
            </w:pPr>
            <w:r>
              <w:rPr>
                <w:b/>
              </w:rPr>
              <w:t>$</w:t>
            </w:r>
          </w:p>
        </w:tc>
        <w:tc>
          <w:tcPr>
            <w:tcW w:w="590" w:type="dxa"/>
            <w:tcBorders/>
            <w:vAlign w:val="center"/>
          </w:tcPr>
          <w:p>
            <w:pPr>
              <w:pStyle w:val="TableContents"/>
              <w:bidi w:val="0"/>
              <w:spacing w:before="0" w:after="283"/>
              <w:jc w:val="right"/>
              <w:rPr>
                <w:b/>
              </w:rPr>
            </w:pPr>
            <w:r>
              <w:rPr>
                <w:b/>
              </w:rPr>
              <w:t>241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223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626" w:type="dxa"/>
            <w:tcBorders/>
            <w:vAlign w:val="center"/>
          </w:tcPr>
          <w:p>
            <w:pPr>
              <w:pStyle w:val="TableContents"/>
              <w:bidi w:val="0"/>
              <w:spacing w:before="0" w:after="283"/>
              <w:jc w:val="right"/>
              <w:rPr/>
            </w:pPr>
            <w:r>
              <w:rPr/>
              <w:t>18</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right"/>
              <w:rPr/>
            </w:pPr>
            <w:r>
              <w:rPr/>
              <w:t>8</w:t>
            </w:r>
          </w:p>
        </w:tc>
        <w:tc>
          <w:tcPr>
            <w:tcW w:w="497" w:type="dxa"/>
            <w:tcBorders/>
            <w:vAlign w:val="center"/>
          </w:tcPr>
          <w:p>
            <w:pPr>
              <w:pStyle w:val="TableContents"/>
              <w:bidi w:val="0"/>
              <w:spacing w:before="0" w:after="283"/>
              <w:jc w:val="left"/>
              <w:rPr/>
            </w:pPr>
            <w:r>
              <w:rPr/>
              <w:t>%</w:t>
            </w:r>
          </w:p>
        </w:tc>
      </w:tr>
    </w:tbl>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24"/>
          <w:bdr w:val="single" w:sz="2" w:space="1" w:color="000000"/>
        </w:rPr>
      </w:pPr>
      <w:r>
        <w:rPr>
          <w:rFonts w:ascii="Times New Roman" w:hAnsi="Times New Roman"/>
          <w:i/>
          <w:sz w:val="18"/>
          <w:bdr w:val="single" w:sz="2" w:space="1" w:color="000000"/>
        </w:rPr>
        <w:t>Net sales: </w:t>
      </w:r>
      <w:r>
        <w:rPr>
          <w:rFonts w:ascii="Times New Roman" w:hAnsi="Times New Roman"/>
          <w:sz w:val="18"/>
          <w:bdr w:val="single" w:sz="2" w:space="1" w:color="000000"/>
        </w:rPr>
        <w:t>The net sales increase included revenue from the Transaction of $440 million partially offset by decreased selling prices of $35 million primarily due to the pass-through of lower raw material costs, a $36 million unfavorable impact from foreign currency changes and a 2% organic volume decline that was primarily attributed to competitive pressures from imports in South America</w:t>
      </w:r>
      <w:r>
        <w:rPr>
          <w:rFonts w:ascii="Times New Roman" w:hAnsi="Times New Roman"/>
          <w:i/>
          <w:sz w:val="18"/>
          <w:bdr w:val="single" w:sz="2" w:space="1" w:color="000000"/>
        </w:rPr>
        <w:t>.</w:t>
      </w:r>
    </w:p>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24"/>
          <w:bdr w:val="single" w:sz="2" w:space="1" w:color="000000"/>
        </w:rPr>
      </w:pPr>
      <w:r>
        <w:rPr>
          <w:rFonts w:ascii="Times New Roman" w:hAnsi="Times New Roman"/>
          <w:i/>
          <w:sz w:val="18"/>
          <w:bdr w:val="single" w:sz="2" w:space="1" w:color="000000"/>
        </w:rPr>
        <w:t>Adjusted EBITDA: </w:t>
      </w:r>
      <w:r>
        <w:rPr>
          <w:rFonts w:ascii="Times New Roman" w:hAnsi="Times New Roman"/>
          <w:sz w:val="18"/>
          <w:bdr w:val="single" w:sz="2" w:space="1" w:color="000000"/>
        </w:rPr>
        <w:t>The EBITDA increase included EBITDA from the Transaction of $40 million partially offset by unfavorable price cost spread of $14 million and a $7 million unfavorable impact from currency changes.</w:t>
      </w:r>
    </w:p>
    <w:p>
      <w:pPr>
        <w:pStyle w:val="TextBody"/>
        <w:bidi w:val="0"/>
        <w:spacing w:before="0" w:after="0"/>
        <w:jc w:val="left"/>
        <w:rPr>
          <w:bdr w:val="single" w:sz="2" w:space="1" w:color="000000"/>
        </w:rPr>
      </w:pPr>
      <w:r>
        <w:rPr>
          <w:bdr w:val="single" w:sz="2" w:space="1" w:color="000000"/>
        </w:rPr>
        <w:t> </w:t>
      </w:r>
    </w:p>
    <w:tbl>
      <w:tblPr>
        <w:tblW w:w="5838" w:type="dxa"/>
        <w:jc w:val="left"/>
        <w:tblInd w:w="0" w:type="dxa"/>
        <w:tblLayout w:type="fixed"/>
        <w:tblCellMar>
          <w:top w:w="0" w:type="dxa"/>
          <w:left w:w="0" w:type="dxa"/>
          <w:bottom w:w="0" w:type="dxa"/>
          <w:right w:w="0" w:type="dxa"/>
        </w:tblCellMar>
      </w:tblPr>
      <w:tblGrid>
        <w:gridCol w:w="1880"/>
        <w:gridCol w:w="170"/>
        <w:gridCol w:w="590"/>
        <w:gridCol w:w="90"/>
        <w:gridCol w:w="90"/>
        <w:gridCol w:w="170"/>
        <w:gridCol w:w="410"/>
        <w:gridCol w:w="90"/>
        <w:gridCol w:w="90"/>
        <w:gridCol w:w="259"/>
        <w:gridCol w:w="626"/>
        <w:gridCol w:w="139"/>
        <w:gridCol w:w="90"/>
        <w:gridCol w:w="153"/>
        <w:gridCol w:w="494"/>
        <w:gridCol w:w="497"/>
      </w:tblGrid>
      <w:tr>
        <w:trPr/>
        <w:tc>
          <w:tcPr>
            <w:tcW w:w="18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ind w:left="0" w:right="0" w:hanging="180"/>
              <w:jc w:val="left"/>
              <w:rPr>
                <w:b/>
                <w:i/>
              </w:rPr>
            </w:pPr>
            <w:r>
              <w:rPr>
                <w:b/>
                <w:i/>
              </w:rPr>
              <w:t xml:space="preserve">Rest of World </w:t>
            </w:r>
          </w:p>
        </w:tc>
        <w:tc>
          <w:tcPr>
            <w:tcW w:w="1610" w:type="dxa"/>
            <w:gridSpan w:val="7"/>
            <w:tcBorders>
              <w:bottom w:val="single" w:sz="2" w:space="0" w:color="000000"/>
            </w:tcBorders>
            <w:tcMar>
              <w:bottom w:w="28" w:type="dxa"/>
            </w:tcMar>
            <w:vAlign w:val="center"/>
          </w:tcPr>
          <w:p>
            <w:pPr>
              <w:pStyle w:val="TableContents"/>
              <w:bidi w:val="0"/>
              <w:spacing w:before="0" w:after="283"/>
              <w:jc w:val="center"/>
              <w:rPr/>
            </w:pPr>
            <w:r>
              <w:rPr>
                <w:b/>
              </w:rPr>
              <w:t>Fiscal Year</w:t>
            </w:r>
            <w:r>
              <w:rPr/>
              <w:t xml:space="preserve"> </w:t>
            </w:r>
          </w:p>
        </w:tc>
        <w:tc>
          <w:tcPr>
            <w:tcW w:w="90" w:type="dxa"/>
            <w:tcBorders/>
            <w:vAlign w:val="center"/>
          </w:tcPr>
          <w:p>
            <w:pPr>
              <w:pStyle w:val="TableContents"/>
              <w:bidi w:val="0"/>
              <w:spacing w:before="0" w:after="283"/>
              <w:jc w:val="left"/>
              <w:rPr/>
            </w:pPr>
            <w:r>
              <w:rPr/>
              <w:t> </w:t>
            </w:r>
          </w:p>
        </w:tc>
        <w:tc>
          <w:tcPr>
            <w:tcW w:w="1024"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3"/>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85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2025</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67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2024</w:t>
            </w:r>
          </w:p>
        </w:tc>
        <w:tc>
          <w:tcPr>
            <w:tcW w:w="90" w:type="dxa"/>
            <w:tcBorders/>
            <w:vAlign w:val="center"/>
          </w:tcPr>
          <w:p>
            <w:pPr>
              <w:pStyle w:val="TableContents"/>
              <w:bidi w:val="0"/>
              <w:spacing w:before="0" w:after="283"/>
              <w:jc w:val="left"/>
              <w:rPr/>
            </w:pPr>
            <w:r>
              <w:rPr/>
              <w:t> </w:t>
            </w:r>
          </w:p>
        </w:tc>
        <w:tc>
          <w:tcPr>
            <w:tcW w:w="1024" w:type="dxa"/>
            <w:gridSpan w:val="3"/>
            <w:tcBorders>
              <w:bottom w:val="single" w:sz="8" w:space="0" w:color="000000"/>
            </w:tcBorders>
            <w:tcMar>
              <w:bottom w:w="28" w:type="dxa"/>
            </w:tcMar>
            <w:vAlign w:val="center"/>
          </w:tcPr>
          <w:p>
            <w:pPr>
              <w:pStyle w:val="TableContents"/>
              <w:bidi w:val="0"/>
              <w:spacing w:before="0" w:after="283"/>
              <w:jc w:val="center"/>
              <w:rPr/>
            </w:pPr>
            <w:r>
              <w:rPr/>
              <w:t xml:space="preserve">$ Change </w:t>
            </w:r>
          </w:p>
        </w:tc>
        <w:tc>
          <w:tcPr>
            <w:tcW w:w="90" w:type="dxa"/>
            <w:tcBorders/>
            <w:vAlign w:val="center"/>
          </w:tcPr>
          <w:p>
            <w:pPr>
              <w:pStyle w:val="TableContents"/>
              <w:bidi w:val="0"/>
              <w:spacing w:before="0" w:after="283"/>
              <w:jc w:val="left"/>
              <w:rPr/>
            </w:pPr>
            <w:r>
              <w:rPr/>
              <w:t> </w:t>
            </w:r>
          </w:p>
        </w:tc>
        <w:tc>
          <w:tcPr>
            <w:tcW w:w="1144" w:type="dxa"/>
            <w:gridSpan w:val="3"/>
            <w:tcBorders>
              <w:bottom w:val="single" w:sz="8" w:space="0" w:color="000000"/>
            </w:tcBorders>
            <w:tcMar>
              <w:bottom w:w="28" w:type="dxa"/>
            </w:tcMar>
            <w:vAlign w:val="center"/>
          </w:tcPr>
          <w:p>
            <w:pPr>
              <w:pStyle w:val="TableContents"/>
              <w:bidi w:val="0"/>
              <w:spacing w:before="0" w:after="283"/>
              <w:jc w:val="center"/>
              <w:rPr/>
            </w:pPr>
            <w:r>
              <w:rPr/>
              <w:t xml:space="preserve">% Change </w:t>
            </w:r>
          </w:p>
        </w:tc>
      </w:tr>
      <w:tr>
        <w:trPr/>
        <w:tc>
          <w:tcPr>
            <w:tcW w:w="1880" w:type="dxa"/>
            <w:tcBorders/>
            <w:vAlign w:val="center"/>
          </w:tcPr>
          <w:p>
            <w:pPr>
              <w:pStyle w:val="TableContents"/>
              <w:bidi w:val="0"/>
              <w:spacing w:before="0" w:after="0"/>
              <w:ind w:left="0" w:right="0" w:hanging="180"/>
              <w:jc w:val="left"/>
              <w:rPr/>
            </w:pPr>
            <w:r>
              <w:rPr/>
              <w:t xml:space="preserve">Net sales </w:t>
            </w:r>
          </w:p>
        </w:tc>
        <w:tc>
          <w:tcPr>
            <w:tcW w:w="170" w:type="dxa"/>
            <w:tcBorders/>
            <w:vAlign w:val="center"/>
          </w:tcPr>
          <w:p>
            <w:pPr>
              <w:pStyle w:val="TableContents"/>
              <w:bidi w:val="0"/>
              <w:spacing w:before="0" w:after="283"/>
              <w:jc w:val="left"/>
              <w:rPr>
                <w:b/>
              </w:rPr>
            </w:pPr>
            <w:r>
              <w:rPr>
                <w:b/>
              </w:rPr>
              <w:t>$</w:t>
            </w:r>
          </w:p>
        </w:tc>
        <w:tc>
          <w:tcPr>
            <w:tcW w:w="590" w:type="dxa"/>
            <w:tcBorders/>
            <w:vAlign w:val="center"/>
          </w:tcPr>
          <w:p>
            <w:pPr>
              <w:pStyle w:val="TableContents"/>
              <w:bidi w:val="0"/>
              <w:spacing w:before="0" w:after="283"/>
              <w:jc w:val="right"/>
              <w:rPr>
                <w:b/>
              </w:rPr>
            </w:pPr>
            <w:r>
              <w:rPr>
                <w:b/>
              </w:rPr>
              <w:t>1,371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694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626" w:type="dxa"/>
            <w:tcBorders/>
            <w:vAlign w:val="center"/>
          </w:tcPr>
          <w:p>
            <w:pPr>
              <w:pStyle w:val="TableContents"/>
              <w:bidi w:val="0"/>
              <w:spacing w:before="0" w:after="283"/>
              <w:jc w:val="right"/>
              <w:rPr/>
            </w:pPr>
            <w:r>
              <w:rPr/>
              <w:t>677</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right"/>
              <w:rPr/>
            </w:pPr>
            <w:r>
              <w:rPr/>
              <w:t>98</w:t>
            </w:r>
          </w:p>
        </w:tc>
        <w:tc>
          <w:tcPr>
            <w:tcW w:w="497"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0"/>
              <w:ind w:left="0" w:right="0" w:hanging="180"/>
              <w:jc w:val="left"/>
              <w:rPr/>
            </w:pPr>
            <w:r>
              <w:rPr/>
              <w:t>Adjusted EBITDA</w:t>
            </w:r>
          </w:p>
        </w:tc>
        <w:tc>
          <w:tcPr>
            <w:tcW w:w="170" w:type="dxa"/>
            <w:tcBorders/>
            <w:vAlign w:val="center"/>
          </w:tcPr>
          <w:p>
            <w:pPr>
              <w:pStyle w:val="TableContents"/>
              <w:bidi w:val="0"/>
              <w:spacing w:before="0" w:after="283"/>
              <w:jc w:val="left"/>
              <w:rPr>
                <w:b/>
              </w:rPr>
            </w:pPr>
            <w:r>
              <w:rPr>
                <w:b/>
              </w:rPr>
              <w:t>$</w:t>
            </w:r>
          </w:p>
        </w:tc>
        <w:tc>
          <w:tcPr>
            <w:tcW w:w="590" w:type="dxa"/>
            <w:tcBorders/>
            <w:vAlign w:val="center"/>
          </w:tcPr>
          <w:p>
            <w:pPr>
              <w:pStyle w:val="TableContents"/>
              <w:bidi w:val="0"/>
              <w:spacing w:before="0" w:after="283"/>
              <w:jc w:val="right"/>
              <w:rPr>
                <w:b/>
              </w:rPr>
            </w:pPr>
            <w:r>
              <w:rPr>
                <w:b/>
              </w:rPr>
              <w:t>113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626" w:type="dxa"/>
            <w:tcBorders/>
            <w:vAlign w:val="center"/>
          </w:tcPr>
          <w:p>
            <w:pPr>
              <w:pStyle w:val="TableContents"/>
              <w:bidi w:val="0"/>
              <w:spacing w:before="0" w:after="283"/>
              <w:jc w:val="right"/>
              <w:rPr/>
            </w:pPr>
            <w:r>
              <w:rPr/>
              <w:t>54</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right"/>
              <w:rPr/>
            </w:pPr>
            <w:r>
              <w:rPr/>
              <w:t>92</w:t>
            </w:r>
          </w:p>
        </w:tc>
        <w:tc>
          <w:tcPr>
            <w:tcW w:w="497" w:type="dxa"/>
            <w:tcBorders/>
            <w:vAlign w:val="center"/>
          </w:tcPr>
          <w:p>
            <w:pPr>
              <w:pStyle w:val="TableContents"/>
              <w:bidi w:val="0"/>
              <w:spacing w:before="0" w:after="283"/>
              <w:jc w:val="left"/>
              <w:rPr/>
            </w:pPr>
            <w:r>
              <w:rPr/>
              <w:t>%</w:t>
            </w:r>
          </w:p>
        </w:tc>
      </w:tr>
    </w:tbl>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ind w:left="0" w:right="0" w:hanging="0"/>
        <w:jc w:val="both"/>
        <w:rPr>
          <w:rFonts w:ascii="Times New Roman" w:hAnsi="Times New Roman"/>
          <w:sz w:val="24"/>
          <w:bdr w:val="single" w:sz="2" w:space="1" w:color="000000"/>
        </w:rPr>
      </w:pPr>
      <w:r>
        <w:rPr>
          <w:rFonts w:ascii="Times New Roman" w:hAnsi="Times New Roman"/>
          <w:i/>
          <w:sz w:val="18"/>
          <w:bdr w:val="single" w:sz="2" w:space="1" w:color="000000"/>
        </w:rPr>
        <w:t>Net sales: </w:t>
      </w:r>
      <w:r>
        <w:rPr>
          <w:rFonts w:ascii="Times New Roman" w:hAnsi="Times New Roman"/>
          <w:sz w:val="18"/>
          <w:bdr w:val="single" w:sz="2" w:space="1" w:color="000000"/>
        </w:rPr>
        <w:t>The net sales increase included revenue from the Transaction of $705 million partially offset by decreased selling prices of $10 million due to the pass-through of lower raw materials, as well as a 3% organic volume decline that was primarily attributed to general market softness in Europe.</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24"/>
          <w:bdr w:val="single" w:sz="2" w:space="1" w:color="000000"/>
        </w:rPr>
      </w:pPr>
      <w:r>
        <w:rPr>
          <w:rFonts w:ascii="Times New Roman" w:hAnsi="Times New Roman"/>
          <w:i/>
          <w:sz w:val="18"/>
          <w:bdr w:val="single" w:sz="2" w:space="1" w:color="000000"/>
        </w:rPr>
        <w:t>Adjusted EBITDA: </w:t>
      </w:r>
      <w:r>
        <w:rPr>
          <w:rFonts w:ascii="Times New Roman" w:hAnsi="Times New Roman"/>
          <w:sz w:val="18"/>
          <w:bdr w:val="single" w:sz="2" w:space="1" w:color="000000"/>
        </w:rPr>
        <w:t>The EBITDA increase included EBITDA from the Transaction of $45 million and favorable price cost spread of 11 million.</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Liquidity and Capital Resources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We manage our global cash requirements considering (i) available funds among the many subsidiaries through which we conduct our business, (ii) the geographic location of our liquidity needs, and (iii) the cost to access international cash balances.  At the end of the fiscal 2025, the Company had no outstanding balance on its asset-based revolving line of credit that matures in November 2029 and the Company was in compliance with all covenants.</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Cash Flows from Operating Activities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Net cash from operating activities declined $89 million, primarily related to a d</w:t>
      </w:r>
      <w:r>
        <w:rPr>
          <w:rFonts w:ascii="Times New Roman" w:hAnsi="Times New Roman"/>
          <w:sz w:val="18"/>
          <w:bdr w:val="single" w:sz="2" w:space="1" w:color="000000"/>
          <w:shd w:fill="FFFFFF" w:val="clear"/>
        </w:rPr>
        <w:t xml:space="preserve">ecline in </w:t>
      </w:r>
      <w:r>
        <w:rPr>
          <w:rFonts w:ascii="Times New Roman" w:hAnsi="Times New Roman"/>
          <w:sz w:val="18"/>
          <w:shd w:fill="FFFFFF" w:val="clear"/>
        </w:rPr>
        <w:t>net income prior to non-cash activities.</w:t>
      </w:r>
      <w:r>
        <w:rPr>
          <w:rFonts w:ascii="Times New Roman" w:hAnsi="Times New Roman"/>
          <w:sz w:val="18"/>
          <w:bdr w:val="single" w:sz="2" w:space="1" w:color="000000"/>
          <w:shd w:fill="FFFFFF" w:val="clear"/>
        </w:rPr>
        <w:t xml:space="preserve">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Cash Flows from Investing Activities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both"/>
        <w:rPr>
          <w:rFonts w:ascii="Times New Roman" w:hAnsi="Times New Roman"/>
          <w:sz w:val="18"/>
          <w:bdr w:val="single" w:sz="2" w:space="1" w:color="000000"/>
        </w:rPr>
      </w:pPr>
      <w:r>
        <w:rPr>
          <w:rFonts w:ascii="Times New Roman" w:hAnsi="Times New Roman"/>
          <w:sz w:val="18"/>
          <w:bdr w:val="single" w:sz="2" w:space="1" w:color="000000"/>
        </w:rPr>
        <w:t xml:space="preserve">Net cash from investing activities </w:t>
      </w:r>
      <w:r>
        <w:rPr>
          <w:rFonts w:ascii="Times New Roman" w:hAnsi="Times New Roman"/>
          <w:spacing w:val="0"/>
          <w:sz w:val="18"/>
          <w:bdr w:val="single" w:sz="2" w:space="1" w:color="000000"/>
        </w:rPr>
        <w:t>improved</w:t>
      </w:r>
      <w:r>
        <w:rPr>
          <w:rFonts w:ascii="Times New Roman" w:hAnsi="Times New Roman"/>
          <w:sz w:val="18"/>
          <w:bdr w:val="single" w:sz="2" w:space="1" w:color="000000"/>
        </w:rPr>
        <w:t xml:space="preserve"> $31 million, primarily attributed to cash acquired in connection with the Transaction and settlement of net investment hedges in fiscal 2025 compared to the settlement of short-term marketable securities in fiscal 2024.</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Cash Flows from Financing Activities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Net cash used in financing activities </w:t>
      </w:r>
      <w:r>
        <w:rPr>
          <w:rFonts w:ascii="Times New Roman" w:hAnsi="Times New Roman"/>
          <w:spacing w:val="0"/>
          <w:sz w:val="18"/>
          <w:bdr w:val="single" w:sz="2" w:space="1" w:color="000000"/>
        </w:rPr>
        <w:t>improved</w:t>
      </w:r>
      <w:r>
        <w:rPr>
          <w:rFonts w:ascii="Times New Roman" w:hAnsi="Times New Roman"/>
          <w:sz w:val="18"/>
          <w:bdr w:val="single" w:sz="2" w:space="1" w:color="000000"/>
        </w:rPr>
        <w:t xml:space="preserve"> $88 million attributed to higher transfers from Berry prior to the Transaction partially offset by repayments of long-term debt in fiscal 2025 and debt fees related to the Transaction.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Free Cash Flow</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p>
      <w:pPr>
        <w:pStyle w:val="TextBody"/>
        <w:bidi w:val="0"/>
        <w:spacing w:lineRule="auto" w:line="276"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Our consolidated free cash flow for the fiscal 2025 are summarized as follows:</w:t>
      </w:r>
    </w:p>
    <w:p>
      <w:pPr>
        <w:pStyle w:val="TextBody"/>
        <w:bidi w:val="0"/>
        <w:spacing w:before="0" w:after="0"/>
        <w:jc w:val="left"/>
        <w:rPr>
          <w:bdr w:val="single" w:sz="2" w:space="1" w:color="000000"/>
        </w:rPr>
      </w:pPr>
      <w:r>
        <w:rPr>
          <w:bdr w:val="single" w:sz="2" w:space="1" w:color="000000"/>
        </w:rPr>
        <w:t> </w:t>
      </w:r>
    </w:p>
    <w:tbl>
      <w:tblPr>
        <w:tblW w:w="8015" w:type="dxa"/>
        <w:jc w:val="left"/>
        <w:tblInd w:w="0" w:type="dxa"/>
        <w:tblLayout w:type="fixed"/>
        <w:tblCellMar>
          <w:top w:w="0" w:type="dxa"/>
          <w:left w:w="0" w:type="dxa"/>
          <w:bottom w:w="0" w:type="dxa"/>
          <w:right w:w="0" w:type="dxa"/>
        </w:tblCellMar>
      </w:tblPr>
      <w:tblGrid>
        <w:gridCol w:w="5570"/>
        <w:gridCol w:w="170"/>
        <w:gridCol w:w="2045"/>
        <w:gridCol w:w="230"/>
      </w:tblGrid>
      <w:tr>
        <w:trPr/>
        <w:tc>
          <w:tcPr>
            <w:tcW w:w="557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2045" w:type="dxa"/>
            <w:tcBorders>
              <w:bottom w:val="single" w:sz="2" w:space="0" w:color="000000"/>
            </w:tcBorders>
            <w:tcMar>
              <w:bottom w:w="28" w:type="dxa"/>
            </w:tcMar>
            <w:vAlign w:val="center"/>
          </w:tcPr>
          <w:p>
            <w:pPr>
              <w:pStyle w:val="TableContents"/>
              <w:bidi w:val="0"/>
              <w:spacing w:before="0" w:after="283"/>
              <w:jc w:val="center"/>
              <w:rPr>
                <w:b/>
              </w:rPr>
            </w:pPr>
            <w:r>
              <w:rPr>
                <w:b/>
              </w:rPr>
              <w:t>September 27, 2025</w:t>
            </w:r>
          </w:p>
        </w:tc>
        <w:tc>
          <w:tcPr>
            <w:tcW w:w="230"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5570" w:type="dxa"/>
            <w:tcBorders/>
            <w:vAlign w:val="center"/>
          </w:tcPr>
          <w:p>
            <w:pPr>
              <w:pStyle w:val="TableContents"/>
              <w:bidi w:val="0"/>
              <w:spacing w:before="0" w:after="283"/>
              <w:jc w:val="left"/>
              <w:rPr/>
            </w:pPr>
            <w:r>
              <w:rPr/>
              <w:t>Cash flow from operating activities</w:t>
            </w:r>
          </w:p>
        </w:tc>
        <w:tc>
          <w:tcPr>
            <w:tcW w:w="17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right"/>
              <w:rPr/>
            </w:pPr>
            <w:r>
              <w:rPr/>
              <w:t>103</w:t>
            </w:r>
          </w:p>
        </w:tc>
        <w:tc>
          <w:tcPr>
            <w:tcW w:w="23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Pre-Transaction free cash flow from operating activities(1)</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right"/>
              <w:rPr/>
            </w:pPr>
            <w:r>
              <w:rPr/>
              <w:t>90</w:t>
            </w:r>
          </w:p>
        </w:tc>
        <w:tc>
          <w:tcPr>
            <w:tcW w:w="23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Additions to property, plant and equipment, net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045" w:type="dxa"/>
            <w:tcBorders>
              <w:bottom w:val="single" w:sz="2" w:space="0" w:color="000000"/>
            </w:tcBorders>
            <w:tcMar>
              <w:bottom w:w="28" w:type="dxa"/>
            </w:tcMar>
            <w:vAlign w:val="center"/>
          </w:tcPr>
          <w:p>
            <w:pPr>
              <w:pStyle w:val="TableContents"/>
              <w:bidi w:val="0"/>
              <w:spacing w:before="0" w:after="283"/>
              <w:jc w:val="right"/>
              <w:rPr/>
            </w:pPr>
            <w:r>
              <w:rPr/>
              <w:t>(67</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Free cash flow</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2045" w:type="dxa"/>
            <w:tcBorders>
              <w:bottom w:val="double" w:sz="6" w:space="0" w:color="000000"/>
            </w:tcBorders>
            <w:tcMar>
              <w:bottom w:w="28" w:type="dxa"/>
            </w:tcMar>
            <w:vAlign w:val="center"/>
          </w:tcPr>
          <w:p>
            <w:pPr>
              <w:pStyle w:val="TableContents"/>
              <w:bidi w:val="0"/>
              <w:spacing w:before="0" w:after="283"/>
              <w:jc w:val="right"/>
              <w:rPr/>
            </w:pPr>
            <w:r>
              <w:rPr/>
              <w:t>126</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tLeast" w:line="243" w:before="0" w:after="0"/>
        <w:ind w:left="360" w:right="0" w:hanging="360"/>
        <w:jc w:val="left"/>
        <w:rPr>
          <w:rFonts w:ascii="Times New Roman" w:hAnsi="Times New Roman"/>
          <w:sz w:val="24"/>
          <w:bdr w:val="single" w:sz="2" w:space="1" w:color="000000"/>
        </w:rPr>
      </w:pPr>
      <w:r>
        <w:rPr>
          <w:rFonts w:ascii="Times New Roman" w:hAnsi="Times New Roman"/>
          <w:i/>
          <w:sz w:val="15"/>
          <w:bdr w:val="single" w:sz="2" w:space="1" w:color="000000"/>
        </w:rPr>
        <w:t>(1)</w:t>
      </w:r>
      <w:r>
        <w:rPr>
          <w:rFonts w:ascii="Times New Roman" w:hAnsi="Times New Roman"/>
          <w:i/>
          <w:sz w:val="24"/>
          <w:bdr w:val="single" w:sz="2" w:space="1" w:color="000000"/>
        </w:rPr>
        <w:t xml:space="preserve">    </w:t>
      </w:r>
      <w:r>
        <w:rPr>
          <w:rFonts w:ascii="Times New Roman" w:hAnsi="Times New Roman"/>
          <w:spacing w:val="0"/>
          <w:sz w:val="16"/>
          <w:bdr w:val="single" w:sz="2" w:space="1" w:color="000000"/>
        </w:rPr>
        <w:t>Pre-merger cash flow includes pre-Transaction cash from operations and other cash payments burdened by the Transaction.</w:t>
      </w:r>
      <w:r>
        <w:rPr>
          <w:rFonts w:ascii="Times New Roman" w:hAnsi="Times New Roman"/>
          <w:sz w:val="16"/>
          <w:bdr w:val="single" w:sz="2" w:space="1" w:color="000000"/>
        </w:rPr>
        <w:t xml:space="preserve"> </w:t>
      </w:r>
    </w:p>
    <w:p>
      <w:pPr>
        <w:pStyle w:val="TextBody"/>
        <w:bidi w:val="0"/>
        <w:spacing w:lineRule="auto" w:line="288" w:before="24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We use free cash flow metrics as a supplemental measure of liquidity as it assists us in assessing our ability to fund growth through generation of cash.  Free cash flow metrics may be calculated differently by other companies, including other companies in our industry or peer group, limiting its usefulness on a comparative basis.  Free cash flow metrics are not a financial measure presented in accordance with GAAP and should not be considered as an alternative to any other measure determined in accordance with GAAP.</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Liquidity Outlook</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At the end of fiscal 2025, our cash balance was $305 million, of which approximately 86% was located outside the U.S. We believe our existing and future U.S.-based cash and cash flow from U.S. operations will be adequate to meet our short-term and long-term liquidity needs.  The Company has the ability to repatriate the cash located outside the U.S. to the extent not needed to meet operational and capital needs without significant restrictions.  Our unremitted foreign earnings were $336 million at the end of fiscal 2025.  The computation of the deferred tax liability associated with unremitted earnings is not practicable.</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both"/>
        <w:rPr>
          <w:rFonts w:ascii="Times New Roman" w:hAnsi="Times New Roman"/>
          <w:b/>
          <w:sz w:val="18"/>
          <w:bdr w:val="single" w:sz="2" w:space="1" w:color="000000"/>
        </w:rPr>
      </w:pPr>
      <w:r>
        <w:rPr>
          <w:rFonts w:ascii="Times New Roman" w:hAnsi="Times New Roman"/>
          <w:b/>
          <w:sz w:val="18"/>
          <w:bdr w:val="single" w:sz="2" w:space="1" w:color="000000"/>
        </w:rPr>
        <w:t xml:space="preserve">Critical Accounting Policies and Estimates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We disclose those accounting policies that we consider to be significant in determining the amounts to be utilized for communicating our Consolidated and Combined Balance Sheets, Results of Operations and Cash Flows in the first note to our Consolidated and Combined Financial Statements included elsewhere herein. Our discussion and analysis of our financial condition and results of operations are based on our Consolidated and Combined Financial Statements, which have been prepared in accordance with GAAP.  The preparation of financial statements in conformity with these principles requires management to make estimates and assumptions that affect amounts reported in the financial statements and accompanying notes. Actual results may differ from these estimates under different assumptions or conditions.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Goodwill</w:t>
      </w:r>
      <w:r>
        <w:rPr>
          <w:rFonts w:ascii="Times New Roman" w:hAnsi="Times New Roman"/>
          <w:sz w:val="18"/>
          <w:bdr w:val="single" w:sz="2" w:space="1" w:color="000000"/>
        </w:rPr>
        <w:t xml:space="preserve">.  We complete a quantitative test to evaluate impairment of goodwill in order to determine if the carrying value of any reporting unit exceeded its fair value.  This test is completed on the first day of the fourth fiscal quarter.  We utilize a discounted cash flow analysis (income approach) in combination with a comparative company market approach to determine the fair value of each reporting unit. Using the quantitative approach, the Company makes various estimates and assumptions in determining the estimated fair value of each reporting unit. Management judgment is involved in estimating these variables and they include uncertainties since they are forecasting future events. Changes in those assumptions or estimates with respect to a reporting unit or its prospects, which may result from a change in market conditions, market trends, interest rates or other factors outside of our control, or significant underperformance relative to future operating results could result in an impairment charge in the future or may require a more frequent assessment.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Discounted cash flow models are reliant on various assumptions, including projected business results, growth factors such as revenue and EBITDA margin, and weighted-average cost of capital, which ranges between 11% and 13.0%. See Note 1. Basis of Presentation and Summary of Significant Accounting Policies.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10</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The Company's fair value and carrying value of reporting units are as follows:</w:t>
      </w:r>
    </w:p>
    <w:p>
      <w:pPr>
        <w:pStyle w:val="TextBody"/>
        <w:bidi w:val="0"/>
        <w:spacing w:before="0" w:after="0"/>
        <w:jc w:val="left"/>
        <w:rPr>
          <w:bdr w:val="single" w:sz="2" w:space="1" w:color="000000"/>
        </w:rPr>
      </w:pPr>
      <w:r>
        <w:rPr>
          <w:bdr w:val="single" w:sz="2" w:space="1" w:color="000000"/>
        </w:rPr>
        <w:t xml:space="preserve">  </w:t>
      </w:r>
    </w:p>
    <w:tbl>
      <w:tblPr>
        <w:tblW w:w="5972" w:type="dxa"/>
        <w:jc w:val="left"/>
        <w:tblInd w:w="0" w:type="dxa"/>
        <w:tblLayout w:type="fixed"/>
        <w:tblCellMar>
          <w:top w:w="0" w:type="dxa"/>
          <w:left w:w="0" w:type="dxa"/>
          <w:bottom w:w="0" w:type="dxa"/>
          <w:right w:w="0" w:type="dxa"/>
        </w:tblCellMar>
      </w:tblPr>
      <w:tblGrid>
        <w:gridCol w:w="1460"/>
        <w:gridCol w:w="277"/>
        <w:gridCol w:w="961"/>
        <w:gridCol w:w="146"/>
        <w:gridCol w:w="90"/>
        <w:gridCol w:w="304"/>
        <w:gridCol w:w="1053"/>
        <w:gridCol w:w="162"/>
        <w:gridCol w:w="90"/>
        <w:gridCol w:w="339"/>
        <w:gridCol w:w="819"/>
        <w:gridCol w:w="271"/>
      </w:tblGrid>
      <w:tr>
        <w:trPr/>
        <w:tc>
          <w:tcPr>
            <w:tcW w:w="14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1384" w:type="dxa"/>
            <w:gridSpan w:val="3"/>
            <w:tcBorders>
              <w:bottom w:val="single" w:sz="8" w:space="0" w:color="000000"/>
            </w:tcBorders>
            <w:tcMar>
              <w:bottom w:w="28" w:type="dxa"/>
            </w:tcMar>
            <w:vAlign w:val="center"/>
          </w:tcPr>
          <w:p>
            <w:pPr>
              <w:pStyle w:val="TableContents"/>
              <w:bidi w:val="0"/>
              <w:spacing w:before="0" w:after="283"/>
              <w:jc w:val="center"/>
              <w:rPr/>
            </w:pPr>
            <w:r>
              <w:rPr/>
              <w:t>Fair Value</w:t>
              <w:br/>
              <w:t>June 29, 2025</w:t>
            </w:r>
          </w:p>
        </w:tc>
        <w:tc>
          <w:tcPr>
            <w:tcW w:w="90" w:type="dxa"/>
            <w:tcBorders/>
            <w:vAlign w:val="center"/>
          </w:tcPr>
          <w:p>
            <w:pPr>
              <w:pStyle w:val="TableContents"/>
              <w:bidi w:val="0"/>
              <w:spacing w:before="0" w:after="283"/>
              <w:jc w:val="center"/>
              <w:rPr/>
            </w:pPr>
            <w:r>
              <w:rPr/>
              <w:t> </w:t>
            </w:r>
          </w:p>
        </w:tc>
        <w:tc>
          <w:tcPr>
            <w:tcW w:w="1519" w:type="dxa"/>
            <w:gridSpan w:val="3"/>
            <w:tcBorders>
              <w:bottom w:val="single" w:sz="8" w:space="0" w:color="000000"/>
            </w:tcBorders>
            <w:tcMar>
              <w:bottom w:w="28" w:type="dxa"/>
            </w:tcMar>
            <w:vAlign w:val="center"/>
          </w:tcPr>
          <w:p>
            <w:pPr>
              <w:pStyle w:val="TableContents"/>
              <w:bidi w:val="0"/>
              <w:spacing w:before="0" w:after="283"/>
              <w:jc w:val="center"/>
              <w:rPr/>
            </w:pPr>
            <w:r>
              <w:rPr/>
              <w:t>Carrying Value</w:t>
              <w:br/>
              <w:t>June 29, 2025</w:t>
            </w:r>
          </w:p>
        </w:tc>
        <w:tc>
          <w:tcPr>
            <w:tcW w:w="90" w:type="dxa"/>
            <w:tcBorders/>
            <w:vAlign w:val="center"/>
          </w:tcPr>
          <w:p>
            <w:pPr>
              <w:pStyle w:val="TableContents"/>
              <w:bidi w:val="0"/>
              <w:spacing w:before="0" w:after="283"/>
              <w:jc w:val="center"/>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pPr>
            <w:r>
              <w:rPr/>
              <w:t>Cushion</w:t>
              <w:br/>
              <w:t>June 29, 2025</w:t>
            </w:r>
          </w:p>
        </w:tc>
      </w:tr>
      <w:tr>
        <w:trPr/>
        <w:tc>
          <w:tcPr>
            <w:tcW w:w="1460" w:type="dxa"/>
            <w:tcBorders/>
            <w:vAlign w:val="center"/>
          </w:tcPr>
          <w:p>
            <w:pPr>
              <w:pStyle w:val="TableContents"/>
              <w:bidi w:val="0"/>
              <w:spacing w:before="0" w:after="0"/>
              <w:jc w:val="left"/>
              <w:rPr/>
            </w:pPr>
            <w:r>
              <w:rPr/>
              <w:t>Americas</w:t>
            </w:r>
          </w:p>
        </w:tc>
        <w:tc>
          <w:tcPr>
            <w:tcW w:w="277" w:type="dxa"/>
            <w:tcBorders>
              <w:top w:val="single" w:sz="8" w:space="0" w:color="000000"/>
            </w:tcBorders>
            <w:tcMar>
              <w:top w:w="28" w:type="dxa"/>
            </w:tcMar>
            <w:vAlign w:val="center"/>
          </w:tcPr>
          <w:p>
            <w:pPr>
              <w:pStyle w:val="TableContents"/>
              <w:bidi w:val="0"/>
              <w:spacing w:before="0" w:after="283"/>
              <w:jc w:val="left"/>
              <w:rPr/>
            </w:pPr>
            <w:r>
              <w:rPr/>
              <w:t>$</w:t>
            </w:r>
          </w:p>
        </w:tc>
        <w:tc>
          <w:tcPr>
            <w:tcW w:w="961" w:type="dxa"/>
            <w:tcBorders>
              <w:top w:val="single" w:sz="8" w:space="0" w:color="000000"/>
            </w:tcBorders>
            <w:tcMar>
              <w:top w:w="28" w:type="dxa"/>
            </w:tcMar>
            <w:vAlign w:val="center"/>
          </w:tcPr>
          <w:p>
            <w:pPr>
              <w:pStyle w:val="TableContents"/>
              <w:bidi w:val="0"/>
              <w:spacing w:before="0" w:after="283"/>
              <w:jc w:val="right"/>
              <w:rPr/>
            </w:pPr>
            <w:r>
              <w:rPr/>
              <w:t>2,130</w:t>
            </w:r>
          </w:p>
        </w:tc>
        <w:tc>
          <w:tcPr>
            <w:tcW w:w="1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1053" w:type="dxa"/>
            <w:tcBorders/>
            <w:vAlign w:val="center"/>
          </w:tcPr>
          <w:p>
            <w:pPr>
              <w:pStyle w:val="TableContents"/>
              <w:bidi w:val="0"/>
              <w:spacing w:before="0" w:after="283"/>
              <w:jc w:val="right"/>
              <w:rPr/>
            </w:pPr>
            <w:r>
              <w:rPr/>
              <w:t>1,996</w:t>
            </w:r>
          </w:p>
        </w:tc>
        <w:tc>
          <w:tcPr>
            <w:tcW w:w="1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w:t>
            </w:r>
          </w:p>
        </w:tc>
        <w:tc>
          <w:tcPr>
            <w:tcW w:w="819" w:type="dxa"/>
            <w:tcBorders>
              <w:top w:val="single" w:sz="8" w:space="0" w:color="000000"/>
            </w:tcBorders>
            <w:tcMar>
              <w:top w:w="28" w:type="dxa"/>
            </w:tcMar>
            <w:vAlign w:val="center"/>
          </w:tcPr>
          <w:p>
            <w:pPr>
              <w:pStyle w:val="TableContents"/>
              <w:bidi w:val="0"/>
              <w:spacing w:before="0" w:after="283"/>
              <w:jc w:val="right"/>
              <w:rPr/>
            </w:pPr>
            <w:r>
              <w:rPr/>
              <w:t>134</w:t>
            </w:r>
          </w:p>
        </w:tc>
        <w:tc>
          <w:tcPr>
            <w:tcW w:w="271"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0"/>
              <w:jc w:val="left"/>
              <w:rPr/>
            </w:pPr>
            <w:r>
              <w:rPr/>
              <w:t xml:space="preserve">Rest of World </w:t>
            </w:r>
          </w:p>
        </w:tc>
        <w:tc>
          <w:tcPr>
            <w:tcW w:w="277"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890</w:t>
            </w:r>
          </w:p>
        </w:tc>
        <w:tc>
          <w:tcPr>
            <w:tcW w:w="1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825</w:t>
            </w:r>
          </w:p>
        </w:tc>
        <w:tc>
          <w:tcPr>
            <w:tcW w:w="1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right"/>
              <w:rPr/>
            </w:pPr>
            <w:r>
              <w:rPr/>
              <w:t>65</w:t>
            </w:r>
          </w:p>
        </w:tc>
        <w:tc>
          <w:tcPr>
            <w:tcW w:w="27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Future declines in our expected operating performance or sustained periods of lower valuation market multiples could result in impairment charges in the future or may require a more frequent assessment.</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bookmarkStart w:id="12" w:name="Item7AQUANTITATIVE"/>
      <w:bookmarkEnd w:id="12"/>
      <w:r>
        <w:rPr>
          <w:rFonts w:ascii="Times New Roman" w:hAnsi="Times New Roman"/>
          <w:b/>
          <w:sz w:val="18"/>
          <w:u w:val="single"/>
          <w:bdr w:val="single" w:sz="2" w:space="1" w:color="000000"/>
        </w:rPr>
        <w:t>Item 7A.</w:t>
      </w:r>
      <w:r>
        <w:rPr>
          <w:rFonts w:ascii="Times New Roman" w:hAnsi="Times New Roman"/>
          <w:sz w:val="18"/>
          <w:bdr w:val="single" w:sz="2" w:space="1" w:color="000000"/>
        </w:rPr>
        <w:t>  </w:t>
      </w:r>
      <w:r>
        <w:rPr>
          <w:rFonts w:ascii="Times New Roman" w:hAnsi="Times New Roman"/>
          <w:b/>
          <w:sz w:val="18"/>
          <w:bdr w:val="single" w:sz="2" w:space="1" w:color="000000"/>
        </w:rPr>
        <w:t>QUANTITATIVE AND QUALITATIVE DISCLOSURES ABOUT MARKET RISK</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i/>
          <w:sz w:val="18"/>
          <w:bdr w:val="single" w:sz="2" w:space="1" w:color="000000"/>
        </w:rPr>
      </w:pPr>
      <w:r>
        <w:rPr>
          <w:rFonts w:ascii="Times New Roman" w:hAnsi="Times New Roman"/>
          <w:i/>
          <w:sz w:val="18"/>
          <w:bdr w:val="single" w:sz="2" w:space="1" w:color="000000"/>
        </w:rPr>
        <w:t>Interest Rate Risk</w:t>
      </w:r>
    </w:p>
    <w:p>
      <w:pPr>
        <w:pStyle w:val="TextBody"/>
        <w:bidi w:val="0"/>
        <w:spacing w:before="0" w:after="0"/>
        <w:ind w:left="0" w:right="0" w:hanging="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We are exposed to market risk from changes in interest rates primarily through our senior secured credit facilities and accounts receivable supply chain financing programs.  Our senior secured credit facilities are comprised of (i) the $731 million Term Loan and (ii) the $350 million Revolving Credit Facility with no borrowings outstanding.  Borrowings under our senior secured credit facilities bear interest at a rate equal to an applicable margin plus SOFR.  The applicable margin for SOFR rate borrowings under the Revolving Credit Facility ranges from 1.50% to 2.00%, and the margin for the Term Loan is 4.25% per annum.  As of period end, the SOFR rate of approximately 4.19% was applicable to the Term Loan.  A change of 0.25% on these floating interest rate exposures would increase our annual interest expense by approximately $2 million.</w:t>
      </w:r>
    </w:p>
    <w:p>
      <w:pPr>
        <w:pStyle w:val="TextBody"/>
        <w:bidi w:val="0"/>
        <w:spacing w:before="0" w:after="0"/>
        <w:ind w:left="0" w:right="0" w:hanging="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i/>
          <w:sz w:val="18"/>
          <w:bdr w:val="single" w:sz="2" w:space="1" w:color="000000"/>
        </w:rPr>
      </w:pPr>
      <w:r>
        <w:rPr>
          <w:rFonts w:ascii="Times New Roman" w:hAnsi="Times New Roman"/>
          <w:i/>
          <w:sz w:val="18"/>
          <w:bdr w:val="single" w:sz="2" w:space="1" w:color="000000"/>
        </w:rPr>
        <w:t>Foreign Currency Risk</w:t>
      </w:r>
    </w:p>
    <w:p>
      <w:pPr>
        <w:pStyle w:val="TextBody"/>
        <w:bidi w:val="0"/>
        <w:spacing w:before="0" w:after="0"/>
        <w:ind w:left="0" w:right="0" w:hanging="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As a global company, we face foreign currency risk exposure from fluctuating currency exchange rates, primarily the U.S. dollar against the euro, Argentine peso, and Brazilian real.  Significant fluctuations in currency rates can have a substantial impact, either positive or negative, on our revenue, cost of sales, and operating expenses.  Currency translation gains and losses are primarily related to non-U.S. subsidiaries with a functional currency other than U.S. dollars whereby assets and liabilities are translated from the respective functional currency into U.S. dollars using period-end exchange rates and impact our Comprehensive income.  A 10% decline in foreign currency exchange rates would have had a $2 million unfavorable impact on our Net income on fiscal 2025 Net income.  See Note 4. Financial Instruments and Fair Value Measurements.</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bookmarkStart w:id="13" w:name="Item_8_Financial_Statements"/>
      <w:bookmarkEnd w:id="13"/>
      <w:r>
        <w:rPr>
          <w:rFonts w:ascii="Times New Roman" w:hAnsi="Times New Roman"/>
          <w:b/>
          <w:sz w:val="18"/>
          <w:u w:val="single"/>
          <w:bdr w:val="single" w:sz="2" w:space="1" w:color="000000"/>
        </w:rPr>
        <w:t>Item 8.</w:t>
      </w:r>
      <w:r>
        <w:rPr>
          <w:rFonts w:ascii="Times New Roman" w:hAnsi="Times New Roman"/>
          <w:sz w:val="18"/>
          <w:bdr w:val="single" w:sz="2" w:space="1" w:color="000000"/>
        </w:rPr>
        <w:t>  </w:t>
      </w:r>
      <w:r>
        <w:rPr>
          <w:rFonts w:ascii="Times New Roman" w:hAnsi="Times New Roman"/>
          <w:b/>
          <w:sz w:val="18"/>
          <w:bdr w:val="single" w:sz="2" w:space="1" w:color="000000"/>
        </w:rPr>
        <w:t>FINANCIAL STATEMENTS AND SUPPLEMENTARY DATA</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center"/>
        <w:rPr>
          <w:rFonts w:ascii="Times New Roman" w:hAnsi="Times New Roman"/>
          <w:b/>
          <w:sz w:val="18"/>
          <w:bdr w:val="single" w:sz="2" w:space="1" w:color="000000"/>
        </w:rPr>
      </w:pPr>
      <w:bookmarkStart w:id="14" w:name="Report"/>
      <w:bookmarkEnd w:id="14"/>
      <w:r>
        <w:rPr>
          <w:rFonts w:ascii="Times New Roman" w:hAnsi="Times New Roman"/>
          <w:b/>
          <w:sz w:val="18"/>
          <w:bdr w:val="single" w:sz="2" w:space="1" w:color="000000"/>
        </w:rPr>
        <w:t>Report of Independent Registered Public Accounting Firm</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To the Stockholders and the Board of Directors of Magnera Corporation</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b/>
          <w:sz w:val="18"/>
          <w:bdr w:val="single" w:sz="2" w:space="1" w:color="000000"/>
        </w:rPr>
      </w:pPr>
      <w:r>
        <w:rPr>
          <w:rFonts w:ascii="Times New Roman" w:hAnsi="Times New Roman"/>
          <w:b/>
          <w:sz w:val="18"/>
          <w:bdr w:val="single" w:sz="2" w:space="1" w:color="000000"/>
        </w:rPr>
        <w:t>Opinion on the Financial Statements</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We have audited the accompanying Consolidated and Combined Balance Sheets of Magnera Corporation (the Company) as of September 27, 2025 and September 28, 2024, the related Consolidated and Combined Statements of Operations, Comprehensive Income (Loss), Changes in Equity, and Cash Flows for each of the three years in the period ended September 27, 2025, and the related notes (collectively referred to as the “Consolidated and Combined Financial Statements”). In our opinion, the Consolidated and Combined Financial Statements present fairly, in all material respects, the financial position of the Company at September 27, 2025 and September 28, 2024, and the results of its operations and its cash flows for each of the three years in the period ended September 27, 2025, in conformity with U.S. generally accepted accounting principles.</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We also have audited, in accordance with the standards of the Public Company Accounting Oversight Board (United States) (PCAOB), the Company’s internal control over financial reporting as of September 27, 2025, based on criteria established in Internal Control-Integrated Framework issued by the Committee of Sponsoring Organizations of the Treadway Commission (2013 framework) and our report dated November 25, 2025 expressed an adverse opinion thereon.</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Basis for Opinion</w:t>
      </w:r>
      <w:r>
        <w:rPr>
          <w:rFonts w:ascii="Times New Roman" w:hAnsi="Times New Roman"/>
          <w:sz w:val="18"/>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b/>
          <w:sz w:val="18"/>
          <w:bdr w:val="single" w:sz="2" w:space="1" w:color="000000"/>
        </w:rPr>
      </w:pPr>
      <w:r>
        <w:rPr>
          <w:rFonts w:ascii="Times New Roman" w:hAnsi="Times New Roman"/>
          <w:b/>
          <w:sz w:val="18"/>
          <w:bdr w:val="single" w:sz="2" w:space="1" w:color="000000"/>
        </w:rPr>
        <w:t xml:space="preserve">Critical Audit Matter </w:t>
      </w:r>
    </w:p>
    <w:p>
      <w:pPr>
        <w:pStyle w:val="TextBody"/>
        <w:bidi w:val="0"/>
        <w:spacing w:before="0" w:after="0"/>
        <w:jc w:val="left"/>
        <w:rPr>
          <w:bdr w:val="single" w:sz="2" w:space="1" w:color="000000"/>
        </w:rPr>
      </w:pPr>
      <w:r>
        <w:rPr>
          <w:bdr w:val="single" w:sz="2" w:space="1" w:color="000000"/>
        </w:rPr>
        <w:t> </w:t>
      </w:r>
    </w:p>
    <w:p>
      <w:pPr>
        <w:pStyle w:val="TextBody"/>
        <w:bidi w:val="0"/>
        <w:spacing w:before="0" w:after="24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and Combined Financial Statements, taken as a whole, and we are not, by communicating the critical audit matter below, providing a separate opinion on the critical audit matter or on the account or disclosure to which it relates.</w:t>
      </w:r>
    </w:p>
    <w:tbl>
      <w:tblPr>
        <w:tblW w:w="10205" w:type="dxa"/>
        <w:jc w:val="left"/>
        <w:tblInd w:w="0" w:type="dxa"/>
        <w:tblLayout w:type="fixed"/>
        <w:tblCellMar>
          <w:top w:w="28" w:type="dxa"/>
          <w:left w:w="28" w:type="dxa"/>
          <w:bottom w:w="28" w:type="dxa"/>
          <w:right w:w="28" w:type="dxa"/>
        </w:tblCellMar>
      </w:tblPr>
      <w:tblGrid>
        <w:gridCol w:w="1244"/>
        <w:gridCol w:w="146"/>
        <w:gridCol w:w="8815"/>
      </w:tblGrid>
      <w:tr>
        <w:trPr/>
        <w:tc>
          <w:tcPr>
            <w:tcW w:w="12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5" w:type="dxa"/>
            <w:tcBorders/>
            <w:vAlign w:val="center"/>
          </w:tcPr>
          <w:p>
            <w:pPr>
              <w:pStyle w:val="TableContents"/>
              <w:bidi w:val="0"/>
              <w:spacing w:before="0" w:after="283"/>
              <w:jc w:val="left"/>
              <w:rPr/>
            </w:pPr>
            <w:r>
              <w:rPr/>
              <w:t> </w:t>
            </w:r>
          </w:p>
        </w:tc>
      </w:tr>
      <w:tr>
        <w:trPr/>
        <w:tc>
          <w:tcPr>
            <w:tcW w:w="12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40"/>
              <w:jc w:val="left"/>
              <w:rPr>
                <w:b/>
                <w:i/>
              </w:rPr>
            </w:pPr>
            <w:r>
              <w:rPr>
                <w:b/>
                <w:i/>
              </w:rPr>
              <w:t>Goodwill – impairment assessment</w:t>
            </w:r>
          </w:p>
        </w:tc>
      </w:tr>
      <w:tr>
        <w:trPr/>
        <w:tc>
          <w:tcPr>
            <w:tcW w:w="1244" w:type="dxa"/>
            <w:tcBorders/>
            <w:tcMar>
              <w:top w:w="0" w:type="dxa"/>
              <w:left w:w="0" w:type="dxa"/>
              <w:bottom w:w="0" w:type="dxa"/>
              <w:right w:w="0" w:type="dxa"/>
            </w:tcMar>
            <w:vAlign w:val="center"/>
          </w:tcPr>
          <w:p>
            <w:pPr>
              <w:pStyle w:val="TableContents"/>
              <w:bidi w:val="0"/>
              <w:spacing w:before="0" w:after="200"/>
              <w:jc w:val="left"/>
              <w:rPr>
                <w:i/>
                <w:sz w:val="16"/>
              </w:rPr>
            </w:pPr>
            <w:r>
              <w:rPr>
                <w:i/>
                <w:sz w:val="16"/>
              </w:rPr>
              <w:t>Description of the Matter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vAlign w:val="center"/>
          </w:tcPr>
          <w:p>
            <w:pPr>
              <w:pStyle w:val="TableContents"/>
              <w:bidi w:val="0"/>
              <w:spacing w:before="0" w:after="283"/>
              <w:jc w:val="left"/>
              <w:rPr>
                <w:sz w:val="16"/>
              </w:rPr>
            </w:pPr>
            <w:r>
              <w:rPr>
                <w:sz w:val="16"/>
              </w:rPr>
              <w:t>At September 27, 2025, the Company's goodwill was $663 million. As discussed in Note 1 to the Consolidated and Combined Financial Statements, goodwill is tested for impairment at the reporting unit level at least annually or whenever events or changes in circumstances indicate their carrying value may not be recoverable. The Company performed its annual quantitative goodwill impairment test for each of the reporting units as of the first day of its fiscal fourth quarter, which did not result in an impairment charge.</w:t>
              <w:br/>
              <w:br/>
              <w:t>Auditing management’s annual goodwill impairment test was complex and judgmental due to the significant estimation uncertainty in determining the fair values of the reporting units. In particular, the fair value estimates were sensitive to significant assumptions, which included the weighted average cost of capital, revenue growth rates and EBITDA margins. These significant assumptions are forward looking and could be affected by expectations about future market and economic conditions. </w:t>
            </w:r>
          </w:p>
        </w:tc>
      </w:tr>
      <w:tr>
        <w:trPr/>
        <w:tc>
          <w:tcPr>
            <w:tcW w:w="1244" w:type="dxa"/>
            <w:tcBorders/>
            <w:tcMar>
              <w:top w:w="0" w:type="dxa"/>
              <w:left w:w="0" w:type="dxa"/>
              <w:bottom w:w="0" w:type="dxa"/>
              <w:right w:w="0" w:type="dxa"/>
            </w:tcMar>
            <w:vAlign w:val="center"/>
          </w:tcPr>
          <w:p>
            <w:pPr>
              <w:pStyle w:val="TableContents"/>
              <w:bidi w:val="0"/>
              <w:spacing w:before="0" w:after="200"/>
              <w:jc w:val="left"/>
              <w:rPr>
                <w:sz w:val="16"/>
              </w:rPr>
            </w:pPr>
            <w:r>
              <w:rPr>
                <w:i/>
                <w:sz w:val="16"/>
              </w:rPr>
              <w:t>How We Addressed the Matter in Our Audit</w:t>
            </w:r>
            <w:r>
              <w:rPr>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vAlign w:val="center"/>
          </w:tcPr>
          <w:p>
            <w:pPr>
              <w:pStyle w:val="TableContents"/>
              <w:bidi w:val="0"/>
              <w:spacing w:before="0" w:after="0"/>
              <w:jc w:val="left"/>
              <w:rPr>
                <w:sz w:val="16"/>
              </w:rPr>
            </w:pPr>
            <w:r>
              <w:rPr>
                <w:sz w:val="16"/>
              </w:rPr>
              <w:t>We obtained an understanding, evaluated the design and tested the operating effectiveness of controls over the Company’s goodwill impairment review process, including controls over management’s review of the valuation models and the significant data inputs and assumptions underlying the fair value determination as described above.</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16"/>
              </w:rPr>
            </w:pPr>
            <w:r>
              <w:rPr>
                <w:sz w:val="16"/>
              </w:rPr>
              <w:t xml:space="preserve">To test the fair values of the Company’s reporting units, our audit procedures included, among others, involvement from our valuation specialists to assist in assessing the valuation methodologies utilized by the Company and testing the significant assumptions and underlying data used by the Company in its analysis. We compared the significant assumptions used by management to historical results and current industry and economic trends. We tested management’s reconciliation of the fair value of the reporting units to the market capitalization of the Company and performed sensitivity analyses of significant assumptions to evaluate the changes in the fair value of the reporting units that would result from changes in the assumptions. </w:t>
            </w:r>
          </w:p>
        </w:tc>
      </w:tr>
    </w:tbl>
    <w:p>
      <w:pPr>
        <w:pStyle w:val="TextBody"/>
        <w:bidi w:val="0"/>
        <w:spacing w:before="0" w:after="0"/>
        <w:ind w:left="5040" w:right="0" w:hanging="0"/>
        <w:jc w:val="both"/>
        <w:rPr>
          <w:bdr w:val="single" w:sz="2" w:space="1" w:color="000000"/>
        </w:rPr>
      </w:pPr>
      <w:r>
        <w:rPr>
          <w:bdr w:val="single" w:sz="2" w:space="1" w:color="000000"/>
        </w:rPr>
        <w:t xml:space="preserve">  </w:t>
      </w:r>
    </w:p>
    <w:p>
      <w:pPr>
        <w:pStyle w:val="TextBody"/>
        <w:bidi w:val="0"/>
        <w:spacing w:before="0" w:after="0"/>
        <w:jc w:val="both"/>
        <w:rPr>
          <w:rFonts w:ascii="Times New Roman" w:hAnsi="Times New Roman"/>
          <w:sz w:val="18"/>
          <w:bdr w:val="single" w:sz="2" w:space="1" w:color="000000"/>
        </w:rPr>
      </w:pPr>
      <w:r>
        <w:rPr>
          <w:rFonts w:ascii="Times New Roman" w:hAnsi="Times New Roman"/>
          <w:sz w:val="18"/>
          <w:bdr w:val="single" w:sz="2" w:space="1" w:color="000000"/>
        </w:rPr>
        <w:t xml:space="preserve">/s/ Ernst &amp; Young LLP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We have served as the Company’s auditor since 2024.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Indianapolis, Indiana </w:t>
      </w:r>
    </w:p>
    <w:p>
      <w:pPr>
        <w:pStyle w:val="TextBody"/>
        <w:bidi w:val="0"/>
        <w:spacing w:before="0" w:after="0"/>
        <w:jc w:val="left"/>
        <w:rPr>
          <w:rFonts w:ascii="Times New Roman" w:hAnsi="Times New Roman"/>
          <w:sz w:val="18"/>
          <w:bdr w:val="single" w:sz="2" w:space="1" w:color="000000"/>
          <w:shd w:fill="FFFFFF" w:val="clear"/>
        </w:rPr>
      </w:pPr>
      <w:r>
        <w:rPr>
          <w:rFonts w:ascii="Times New Roman" w:hAnsi="Times New Roman"/>
          <w:sz w:val="18"/>
          <w:bdr w:val="single" w:sz="2" w:space="1" w:color="000000"/>
          <w:shd w:fill="FFFFFF" w:val="clear"/>
        </w:rPr>
        <w:t>November 25, 2025</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center"/>
        <w:rPr>
          <w:rFonts w:ascii="Times New Roman" w:hAnsi="Times New Roman"/>
          <w:b/>
          <w:sz w:val="18"/>
          <w:bdr w:val="single" w:sz="2" w:space="1" w:color="000000"/>
        </w:rPr>
      </w:pPr>
      <w:r>
        <w:rPr>
          <w:rFonts w:ascii="Times New Roman" w:hAnsi="Times New Roman"/>
          <w:b/>
          <w:sz w:val="18"/>
          <w:bdr w:val="single" w:sz="2" w:space="1" w:color="000000"/>
        </w:rPr>
        <w:t>Report of Independent Registered Public Accounting Firm</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To the Stockholders and the Board of Directors of Magnera Corporation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Opinion on Internal Control Over Financial Reporting</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We have audited Magnera Corporation’s internal control over financial reporting as of September 27, 2025, based on criteria established in Internal Control – Integrated Framework issued by the Committee of Sponsoring Organizations of the Treadway Commission (2013 framework) (the COSO criteria). In our opinion, because of the effect of the material weaknesses described below on the achievement of the objectives of the control criteria, Magnera Corporation (the Company) has not maintained effective internal control over financial reporting as of September 27, 2025, based on the COSO criteria. </w:t>
      </w:r>
    </w:p>
    <w:p>
      <w:pPr>
        <w:pStyle w:val="TextBody"/>
        <w:bidi w:val="0"/>
        <w:spacing w:before="0" w:after="0"/>
        <w:ind w:left="0" w:right="50" w:hanging="0"/>
        <w:jc w:val="left"/>
        <w:rPr>
          <w:bdr w:val="single" w:sz="2" w:space="1" w:color="000000"/>
        </w:rPr>
      </w:pPr>
      <w:r>
        <w:rPr>
          <w:bdr w:val="single" w:sz="2" w:space="1" w:color="000000"/>
        </w:rPr>
        <w:t> </w:t>
      </w:r>
    </w:p>
    <w:p>
      <w:pPr>
        <w:pStyle w:val="TextBody"/>
        <w:bidi w:val="0"/>
        <w:spacing w:before="0" w:after="0"/>
        <w:ind w:left="0" w:right="50" w:hanging="0"/>
        <w:jc w:val="left"/>
        <w:rPr>
          <w:rFonts w:ascii="Times New Roman" w:hAnsi="Times New Roman"/>
          <w:sz w:val="18"/>
          <w:bdr w:val="single" w:sz="2" w:space="1" w:color="000000"/>
        </w:rPr>
      </w:pPr>
      <w:r>
        <w:rPr>
          <w:rFonts w:ascii="Times New Roman" w:hAnsi="Times New Roman"/>
          <w:sz w:val="18"/>
          <w:bdr w:val="single" w:sz="2" w:space="1" w:color="00000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a material weakness in controls associated with the purchase price allocation of the merger with Glatfelter and information technology general controls related to legacy Berry U.S. IT systems, including the corresponding automated and IT dependent manual business process controls. The Company also identified a material weakness in controls related to the realizability of deferred tax assets.</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We also have audited, in accordance with the standards of the Public Company Accounting Oversight Board (United States) (PCAOB), the Company’s Consolidated and Combined Balance Sheets as of September 27, 2025 and September 28, 2024, the related Consolidated and Combined Statements of Operations, Comprehensive Income (Loss), Changes in Equity and Cash Flows for each of the three years in the period ended September 27, 2025, and the related notes. These material weaknesses were considered in determining the nature, timing and extent of audit tests applied in our audit of the 2025 Consolidated and Combined Financial Statements, and this report does not affect our report dated November 25, 2025, which expressed an unqualified opinion thereon.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Basis for Opinion</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Definition and Limitations of Internal Control Over Financial Reporting</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/s/ Ernst &amp; Young LLP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Indianapolis, Indiana </w:t>
      </w:r>
    </w:p>
    <w:p>
      <w:pPr>
        <w:pStyle w:val="TextBody"/>
        <w:bidi w:val="0"/>
        <w:spacing w:before="0" w:after="0"/>
        <w:jc w:val="left"/>
        <w:rPr>
          <w:rFonts w:ascii="Times New Roman" w:hAnsi="Times New Roman"/>
          <w:sz w:val="18"/>
          <w:bdr w:val="single" w:sz="2" w:space="1" w:color="000000"/>
          <w:shd w:fill="FFFFFF" w:val="clear"/>
        </w:rPr>
      </w:pPr>
      <w:r>
        <w:rPr>
          <w:rFonts w:ascii="Times New Roman" w:hAnsi="Times New Roman"/>
          <w:sz w:val="18"/>
          <w:bdr w:val="single" w:sz="2" w:space="1" w:color="000000"/>
          <w:shd w:fill="FFFFFF" w:val="clear"/>
        </w:rPr>
        <w:t xml:space="preserve">November 25, 2025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center"/>
        <w:rPr>
          <w:rFonts w:ascii="Times New Roman" w:hAnsi="Times New Roman"/>
          <w:sz w:val="18"/>
          <w:bdr w:val="single" w:sz="2" w:space="1" w:color="000000"/>
        </w:rPr>
      </w:pPr>
      <w:bookmarkStart w:id="15" w:name="Statements_of_Operations"/>
      <w:bookmarkEnd w:id="15"/>
      <w:r>
        <w:rPr>
          <w:rFonts w:ascii="Times New Roman" w:hAnsi="Times New Roman"/>
          <w:b/>
          <w:sz w:val="18"/>
          <w:bdr w:val="single" w:sz="2" w:space="1" w:color="000000"/>
        </w:rPr>
        <w:t>Magnera Corporation</w:t>
      </w:r>
      <w:r>
        <w:rPr>
          <w:rFonts w:ascii="Times New Roman" w:hAnsi="Times New Roman"/>
          <w:sz w:val="18"/>
          <w:bdr w:val="single" w:sz="2" w:space="1" w:color="000000"/>
        </w:rPr>
        <w:t xml:space="preserve"> </w:t>
      </w:r>
    </w:p>
    <w:p>
      <w:pPr>
        <w:pStyle w:val="TextBody"/>
        <w:bidi w:val="0"/>
        <w:spacing w:lineRule="atLeast" w:line="252" w:before="0" w:after="0"/>
        <w:jc w:val="center"/>
        <w:rPr>
          <w:rFonts w:ascii="Times New Roman" w:hAnsi="Times New Roman"/>
          <w:sz w:val="18"/>
          <w:bdr w:val="single" w:sz="2" w:space="1" w:color="000000"/>
        </w:rPr>
      </w:pPr>
      <w:r>
        <w:rPr>
          <w:rFonts w:ascii="Times New Roman" w:hAnsi="Times New Roman"/>
          <w:b/>
          <w:sz w:val="18"/>
          <w:bdr w:val="single" w:sz="2" w:space="1" w:color="000000"/>
        </w:rPr>
        <w:t>Consolidated and Combined Statements of Operations</w:t>
      </w:r>
      <w:r>
        <w:rPr>
          <w:rFonts w:ascii="Times New Roman" w:hAnsi="Times New Roman"/>
          <w:sz w:val="18"/>
          <w:bdr w:val="single" w:sz="2" w:space="1" w:color="000000"/>
        </w:rPr>
        <w:t xml:space="preserve"> </w:t>
      </w:r>
    </w:p>
    <w:p>
      <w:pPr>
        <w:pStyle w:val="TextBody"/>
        <w:bidi w:val="0"/>
        <w:spacing w:before="0" w:after="0"/>
        <w:jc w:val="center"/>
        <w:rPr>
          <w:rFonts w:ascii="Times New Roman" w:hAnsi="Times New Roman"/>
          <w:sz w:val="18"/>
          <w:bdr w:val="single" w:sz="2" w:space="1" w:color="000000"/>
        </w:rPr>
      </w:pPr>
      <w:r>
        <w:rPr>
          <w:rFonts w:ascii="Times New Roman" w:hAnsi="Times New Roman"/>
          <w:sz w:val="16"/>
          <w:bdr w:val="single" w:sz="2" w:space="1" w:color="000000"/>
        </w:rPr>
        <w:t>(in millions of dollars)</w:t>
      </w:r>
      <w:r>
        <w:rPr>
          <w:rFonts w:ascii="Times New Roman" w:hAnsi="Times New Roman"/>
          <w:sz w:val="18"/>
          <w:bdr w:val="single" w:sz="2" w:space="1" w:color="000000"/>
        </w:rPr>
        <w:t xml:space="preserve"> </w:t>
      </w:r>
    </w:p>
    <w:p>
      <w:pPr>
        <w:pStyle w:val="TextBody"/>
        <w:bidi w:val="0"/>
        <w:spacing w:before="0" w:after="0"/>
        <w:jc w:val="center"/>
        <w:rPr>
          <w:bdr w:val="single" w:sz="2" w:space="1" w:color="000000"/>
        </w:rPr>
      </w:pPr>
      <w:r>
        <w:rPr>
          <w:bdr w:val="single" w:sz="2" w:space="1" w:color="000000"/>
        </w:rPr>
        <w:t> </w:t>
      </w:r>
    </w:p>
    <w:tbl>
      <w:tblPr>
        <w:tblW w:w="10115" w:type="dxa"/>
        <w:jc w:val="left"/>
        <w:tblInd w:w="0" w:type="dxa"/>
        <w:tblLayout w:type="fixed"/>
        <w:tblCellMar>
          <w:top w:w="0" w:type="dxa"/>
          <w:left w:w="0" w:type="dxa"/>
          <w:bottom w:w="0" w:type="dxa"/>
          <w:right w:w="0" w:type="dxa"/>
        </w:tblCellMar>
      </w:tblPr>
      <w:tblGrid>
        <w:gridCol w:w="4400"/>
        <w:gridCol w:w="90"/>
        <w:gridCol w:w="170"/>
        <w:gridCol w:w="1505"/>
        <w:gridCol w:w="185"/>
        <w:gridCol w:w="90"/>
        <w:gridCol w:w="170"/>
        <w:gridCol w:w="1415"/>
        <w:gridCol w:w="185"/>
        <w:gridCol w:w="90"/>
        <w:gridCol w:w="170"/>
        <w:gridCol w:w="1415"/>
        <w:gridCol w:w="230"/>
      </w:tblGrid>
      <w:tr>
        <w:trPr/>
        <w:tc>
          <w:tcPr>
            <w:tcW w:w="4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25"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Fiscal years ended</w:t>
            </w:r>
          </w:p>
        </w:tc>
      </w:tr>
      <w:tr>
        <w:trPr/>
        <w:tc>
          <w:tcPr>
            <w:tcW w:w="4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center"/>
              <w:rPr>
                <w:b/>
              </w:rPr>
            </w:pPr>
            <w:r>
              <w:rPr>
                <w:b/>
              </w:rPr>
              <w:t>September 27,</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center"/>
              <w:rPr/>
            </w:pPr>
            <w:r>
              <w:rPr/>
              <w:t>September 28,</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center"/>
              <w:rPr/>
            </w:pPr>
            <w:r>
              <w:rPr/>
              <w:t>September 30,</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5"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5" w:type="dxa"/>
            <w:tcBorders>
              <w:bottom w:val="single" w:sz="2" w:space="0" w:color="000000"/>
            </w:tcBorders>
            <w:tcMar>
              <w:bottom w:w="28" w:type="dxa"/>
            </w:tcMar>
            <w:vAlign w:val="center"/>
          </w:tcPr>
          <w:p>
            <w:pPr>
              <w:pStyle w:val="TableContents"/>
              <w:bidi w:val="0"/>
              <w:spacing w:before="0" w:after="283"/>
              <w:jc w:val="center"/>
              <w:rPr/>
            </w:pPr>
            <w:r>
              <w:rPr/>
              <w:t>2023</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283"/>
              <w:jc w:val="left"/>
              <w:rPr/>
            </w:pPr>
            <w:r>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505" w:type="dxa"/>
            <w:tcBorders/>
            <w:vAlign w:val="center"/>
          </w:tcPr>
          <w:p>
            <w:pPr>
              <w:pStyle w:val="TableContents"/>
              <w:bidi w:val="0"/>
              <w:spacing w:before="0" w:after="283"/>
              <w:jc w:val="right"/>
              <w:rPr>
                <w:b/>
              </w:rPr>
            </w:pPr>
            <w:r>
              <w:rPr>
                <w:b/>
              </w:rPr>
              <w:t>3,204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2,187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2,275</w:t>
            </w:r>
          </w:p>
        </w:tc>
        <w:tc>
          <w:tcPr>
            <w:tcW w:w="23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Costs and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2,867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1,950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1,995</w:t>
            </w:r>
          </w:p>
        </w:tc>
        <w:tc>
          <w:tcPr>
            <w:tcW w:w="23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Selling, general and administrative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190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107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110</w:t>
            </w:r>
          </w:p>
        </w:tc>
        <w:tc>
          <w:tcPr>
            <w:tcW w:w="23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Amortization of intangibles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48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51</w:t>
            </w:r>
          </w:p>
        </w:tc>
        <w:tc>
          <w:tcPr>
            <w:tcW w:w="23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Goodwill and other impairment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172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Restructuring and other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24</w:t>
            </w:r>
          </w:p>
        </w:tc>
        <w:tc>
          <w:tcPr>
            <w:tcW w:w="23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Corporate expense allocation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tcMar>
              <w:bottom w:w="28" w:type="dxa"/>
            </w:tcMar>
            <w:vAlign w:val="center"/>
          </w:tcPr>
          <w:p>
            <w:pPr>
              <w:pStyle w:val="TableContents"/>
              <w:bidi w:val="0"/>
              <w:spacing w:before="0" w:after="283"/>
              <w:jc w:val="right"/>
              <w:rPr>
                <w:b/>
              </w:rPr>
            </w:pPr>
            <w:r>
              <w:rPr>
                <w:b/>
              </w:rPr>
              <w:t>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21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26</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Operating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(141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69</w:t>
            </w:r>
          </w:p>
        </w:tc>
        <w:tc>
          <w:tcPr>
            <w:tcW w:w="23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Other expense (income),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(3</w:t>
            </w:r>
          </w:p>
        </w:tc>
        <w:tc>
          <w:tcPr>
            <w:tcW w:w="23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Interest expense, net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tcMar>
              <w:bottom w:w="28" w:type="dxa"/>
            </w:tcMar>
            <w:vAlign w:val="center"/>
          </w:tcPr>
          <w:p>
            <w:pPr>
              <w:pStyle w:val="TableContents"/>
              <w:bidi w:val="0"/>
              <w:spacing w:before="0" w:after="283"/>
              <w:jc w:val="right"/>
              <w:rPr>
                <w:b/>
              </w:rPr>
            </w:pPr>
            <w:r>
              <w:rPr>
                <w:b/>
              </w:rPr>
              <w:t>141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Income (loss) before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(166</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(135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72</w:t>
            </w:r>
          </w:p>
        </w:tc>
        <w:tc>
          <w:tcPr>
            <w:tcW w:w="23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Income tax expense (benefit)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tcMar>
              <w:bottom w:w="28" w:type="dxa"/>
            </w:tcMar>
            <w:vAlign w:val="center"/>
          </w:tcPr>
          <w:p>
            <w:pPr>
              <w:pStyle w:val="TableContents"/>
              <w:bidi w:val="0"/>
              <w:spacing w:before="0" w:after="283"/>
              <w:jc w:val="right"/>
              <w:rPr>
                <w:b/>
              </w:rPr>
            </w:pPr>
            <w:r>
              <w:rPr>
                <w:b/>
              </w:rPr>
              <w:t>(7</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19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34</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Net income (loss)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505" w:type="dxa"/>
            <w:tcBorders>
              <w:bottom w:val="double" w:sz="6" w:space="0" w:color="000000"/>
            </w:tcBorders>
            <w:tcMar>
              <w:bottom w:w="28" w:type="dxa"/>
            </w:tcMar>
            <w:vAlign w:val="center"/>
          </w:tcPr>
          <w:p>
            <w:pPr>
              <w:pStyle w:val="TableContents"/>
              <w:bidi w:val="0"/>
              <w:spacing w:before="0" w:after="283"/>
              <w:jc w:val="right"/>
              <w:rPr>
                <w:b/>
              </w:rPr>
            </w:pPr>
            <w:r>
              <w:rPr>
                <w:b/>
              </w:rPr>
              <w:t>(159</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15" w:type="dxa"/>
            <w:tcBorders>
              <w:bottom w:val="double" w:sz="6" w:space="0" w:color="000000"/>
            </w:tcBorders>
            <w:tcMar>
              <w:bottom w:w="28" w:type="dxa"/>
            </w:tcMar>
            <w:vAlign w:val="center"/>
          </w:tcPr>
          <w:p>
            <w:pPr>
              <w:pStyle w:val="TableContents"/>
              <w:bidi w:val="0"/>
              <w:spacing w:before="0" w:after="283"/>
              <w:jc w:val="right"/>
              <w:rPr/>
            </w:pPr>
            <w:r>
              <w:rPr/>
              <w:t>(154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15" w:type="dxa"/>
            <w:tcBorders>
              <w:bottom w:val="double" w:sz="6" w:space="0" w:color="000000"/>
            </w:tcBorders>
            <w:tcMar>
              <w:bottom w:w="28" w:type="dxa"/>
            </w:tcMar>
            <w:vAlign w:val="center"/>
          </w:tcPr>
          <w:p>
            <w:pPr>
              <w:pStyle w:val="TableContents"/>
              <w:bidi w:val="0"/>
              <w:spacing w:before="0" w:after="283"/>
              <w:jc w:val="right"/>
              <w:rPr/>
            </w:pPr>
            <w:r>
              <w:rPr/>
              <w:t>38</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Net income (loss) per share: Basic and diluted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(4.47</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(4.84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1.19</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center"/>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t> </w:t>
      </w:r>
    </w:p>
    <w:p>
      <w:pPr>
        <w:pStyle w:val="TextBody"/>
        <w:bidi w:val="0"/>
        <w:spacing w:before="0" w:after="0"/>
        <w:jc w:val="center"/>
        <w:rPr>
          <w:rFonts w:ascii="Times New Roman" w:hAnsi="Times New Roman"/>
          <w:sz w:val="18"/>
          <w:bdr w:val="single" w:sz="2" w:space="1" w:color="000000"/>
        </w:rPr>
      </w:pPr>
      <w:r>
        <w:rPr>
          <w:rFonts w:ascii="Times New Roman" w:hAnsi="Times New Roman"/>
          <w:b/>
          <w:sz w:val="18"/>
          <w:bdr w:val="single" w:sz="2" w:space="1" w:color="000000"/>
        </w:rPr>
        <w:t>Magnera Corporation</w:t>
      </w:r>
      <w:r>
        <w:rPr>
          <w:rFonts w:ascii="Times New Roman" w:hAnsi="Times New Roman"/>
          <w:sz w:val="18"/>
          <w:bdr w:val="single" w:sz="2" w:space="1" w:color="000000"/>
        </w:rPr>
        <w:t xml:space="preserve"> </w:t>
      </w:r>
    </w:p>
    <w:p>
      <w:pPr>
        <w:pStyle w:val="TextBody"/>
        <w:bidi w:val="0"/>
        <w:spacing w:lineRule="atLeast" w:line="252" w:before="0" w:after="0"/>
        <w:jc w:val="center"/>
        <w:rPr>
          <w:rFonts w:ascii="Times New Roman" w:hAnsi="Times New Roman"/>
          <w:sz w:val="18"/>
          <w:bdr w:val="single" w:sz="2" w:space="1" w:color="000000"/>
        </w:rPr>
      </w:pPr>
      <w:r>
        <w:rPr>
          <w:rFonts w:ascii="Times New Roman" w:hAnsi="Times New Roman"/>
          <w:b/>
          <w:sz w:val="18"/>
          <w:bdr w:val="single" w:sz="2" w:space="1" w:color="000000"/>
        </w:rPr>
        <w:t>Consolidated and Combined Statements of Comprehensive Income (Loss)</w:t>
      </w:r>
      <w:r>
        <w:rPr>
          <w:rFonts w:ascii="Times New Roman" w:hAnsi="Times New Roman"/>
          <w:sz w:val="18"/>
          <w:bdr w:val="single" w:sz="2" w:space="1" w:color="000000"/>
        </w:rPr>
        <w:t xml:space="preserve"> </w:t>
      </w:r>
    </w:p>
    <w:p>
      <w:pPr>
        <w:pStyle w:val="TextBody"/>
        <w:bidi w:val="0"/>
        <w:spacing w:before="0" w:after="0"/>
        <w:jc w:val="center"/>
        <w:rPr>
          <w:rFonts w:ascii="Times New Roman" w:hAnsi="Times New Roman"/>
          <w:sz w:val="18"/>
          <w:bdr w:val="single" w:sz="2" w:space="1" w:color="000000"/>
        </w:rPr>
      </w:pPr>
      <w:r>
        <w:rPr>
          <w:rFonts w:ascii="Times New Roman" w:hAnsi="Times New Roman"/>
          <w:sz w:val="16"/>
          <w:bdr w:val="single" w:sz="2" w:space="1" w:color="000000"/>
        </w:rPr>
        <w:t>(in millions of dollars)</w:t>
      </w:r>
      <w:r>
        <w:rPr>
          <w:rFonts w:ascii="Times New Roman" w:hAnsi="Times New Roman"/>
          <w:sz w:val="18"/>
          <w:bdr w:val="single" w:sz="2" w:space="1" w:color="000000"/>
        </w:rPr>
        <w:t xml:space="preserve"> </w:t>
      </w:r>
    </w:p>
    <w:p>
      <w:pPr>
        <w:pStyle w:val="TextBody"/>
        <w:bidi w:val="0"/>
        <w:spacing w:before="0" w:after="0"/>
        <w:jc w:val="center"/>
        <w:rPr>
          <w:bdr w:val="single" w:sz="2" w:space="1" w:color="000000"/>
        </w:rPr>
      </w:pPr>
      <w:r>
        <w:rPr>
          <w:bdr w:val="single" w:sz="2" w:space="1" w:color="000000"/>
        </w:rPr>
        <w:t> </w:t>
      </w:r>
    </w:p>
    <w:tbl>
      <w:tblPr>
        <w:tblW w:w="9525" w:type="dxa"/>
        <w:jc w:val="left"/>
        <w:tblInd w:w="0" w:type="dxa"/>
        <w:tblLayout w:type="fixed"/>
        <w:tblCellMar>
          <w:top w:w="0" w:type="dxa"/>
          <w:left w:w="0" w:type="dxa"/>
          <w:bottom w:w="0" w:type="dxa"/>
          <w:right w:w="0" w:type="dxa"/>
        </w:tblCellMar>
      </w:tblPr>
      <w:tblGrid>
        <w:gridCol w:w="3905"/>
        <w:gridCol w:w="90"/>
        <w:gridCol w:w="170"/>
        <w:gridCol w:w="1505"/>
        <w:gridCol w:w="185"/>
        <w:gridCol w:w="90"/>
        <w:gridCol w:w="170"/>
        <w:gridCol w:w="1415"/>
        <w:gridCol w:w="185"/>
        <w:gridCol w:w="90"/>
        <w:gridCol w:w="170"/>
        <w:gridCol w:w="1415"/>
        <w:gridCol w:w="135"/>
      </w:tblGrid>
      <w:tr>
        <w:trPr/>
        <w:tc>
          <w:tcPr>
            <w:tcW w:w="39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30"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Fiscal years ended</w:t>
            </w:r>
          </w:p>
        </w:tc>
      </w:tr>
      <w:tr>
        <w:trPr/>
        <w:tc>
          <w:tcPr>
            <w:tcW w:w="3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center"/>
              <w:rPr>
                <w:b/>
              </w:rPr>
            </w:pPr>
            <w:r>
              <w:rPr>
                <w:b/>
              </w:rPr>
              <w:t>September 27,</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center"/>
              <w:rPr/>
            </w:pPr>
            <w:r>
              <w:rPr/>
              <w:t>September 28,</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center"/>
              <w:rPr/>
            </w:pPr>
            <w:r>
              <w:rPr/>
              <w:t>September 30,</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5"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5" w:type="dxa"/>
            <w:tcBorders>
              <w:bottom w:val="single" w:sz="2" w:space="0" w:color="000000"/>
            </w:tcBorders>
            <w:tcMar>
              <w:bottom w:w="28" w:type="dxa"/>
            </w:tcMar>
            <w:vAlign w:val="center"/>
          </w:tcPr>
          <w:p>
            <w:pPr>
              <w:pStyle w:val="TableContents"/>
              <w:bidi w:val="0"/>
              <w:spacing w:before="0" w:after="283"/>
              <w:jc w:val="center"/>
              <w:rPr/>
            </w:pPr>
            <w:r>
              <w:rPr/>
              <w:t>2023</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Net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505" w:type="dxa"/>
            <w:tcBorders/>
            <w:vAlign w:val="center"/>
          </w:tcPr>
          <w:p>
            <w:pPr>
              <w:pStyle w:val="TableContents"/>
              <w:bidi w:val="0"/>
              <w:spacing w:before="0" w:after="283"/>
              <w:jc w:val="right"/>
              <w:rPr>
                <w:b/>
              </w:rPr>
            </w:pPr>
            <w:r>
              <w:rPr>
                <w:b/>
              </w:rPr>
              <w:t>(159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(154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38</w:t>
            </w:r>
          </w:p>
        </w:tc>
        <w:tc>
          <w:tcPr>
            <w:tcW w:w="13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Other comprehensive income, net of tax:</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Currency translation gain (loss)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tcMar>
              <w:bottom w:w="28" w:type="dxa"/>
            </w:tcMar>
            <w:vAlign w:val="center"/>
          </w:tcPr>
          <w:p>
            <w:pPr>
              <w:pStyle w:val="TableContents"/>
              <w:bidi w:val="0"/>
              <w:spacing w:before="0" w:after="283"/>
              <w:jc w:val="right"/>
              <w:rPr>
                <w:b/>
              </w:rPr>
            </w:pPr>
            <w:r>
              <w:rPr>
                <w:b/>
              </w:rPr>
              <w:t>(27</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66</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tcMar>
              <w:bottom w:w="28" w:type="dxa"/>
            </w:tcMar>
            <w:vAlign w:val="center"/>
          </w:tcPr>
          <w:p>
            <w:pPr>
              <w:pStyle w:val="TableContents"/>
              <w:bidi w:val="0"/>
              <w:spacing w:before="0" w:after="283"/>
              <w:jc w:val="right"/>
              <w:rPr>
                <w:b/>
              </w:rPr>
            </w:pPr>
            <w:r>
              <w:rPr>
                <w:b/>
              </w:rPr>
              <w:t>(27</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66</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Comprehensive income (loss)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505" w:type="dxa"/>
            <w:tcBorders>
              <w:bottom w:val="double" w:sz="6" w:space="0" w:color="000000"/>
            </w:tcBorders>
            <w:tcMar>
              <w:bottom w:w="28" w:type="dxa"/>
            </w:tcMar>
            <w:vAlign w:val="center"/>
          </w:tcPr>
          <w:p>
            <w:pPr>
              <w:pStyle w:val="TableContents"/>
              <w:bidi w:val="0"/>
              <w:spacing w:before="0" w:after="283"/>
              <w:jc w:val="right"/>
              <w:rPr>
                <w:b/>
              </w:rPr>
            </w:pPr>
            <w:r>
              <w:rPr>
                <w:b/>
              </w:rPr>
              <w:t>(186</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15" w:type="dxa"/>
            <w:tcBorders>
              <w:bottom w:val="double" w:sz="6" w:space="0" w:color="000000"/>
            </w:tcBorders>
            <w:tcMar>
              <w:bottom w:w="28" w:type="dxa"/>
            </w:tcMar>
            <w:vAlign w:val="center"/>
          </w:tcPr>
          <w:p>
            <w:pPr>
              <w:pStyle w:val="TableContents"/>
              <w:bidi w:val="0"/>
              <w:spacing w:before="0" w:after="283"/>
              <w:jc w:val="right"/>
              <w:rPr/>
            </w:pPr>
            <w:r>
              <w:rPr/>
              <w:t>(151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15" w:type="dxa"/>
            <w:tcBorders>
              <w:bottom w:val="double" w:sz="6" w:space="0" w:color="000000"/>
            </w:tcBorders>
            <w:tcMar>
              <w:bottom w:w="28" w:type="dxa"/>
            </w:tcMar>
            <w:vAlign w:val="center"/>
          </w:tcPr>
          <w:p>
            <w:pPr>
              <w:pStyle w:val="TableContents"/>
              <w:bidi w:val="0"/>
              <w:spacing w:before="0" w:after="283"/>
              <w:jc w:val="right"/>
              <w:rPr/>
            </w:pPr>
            <w:r>
              <w:rPr/>
              <w:t>104</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bdr w:val="single" w:sz="2" w:space="1" w:color="000000"/>
        </w:rPr>
      </w:pPr>
      <w:r>
        <w:rPr>
          <w:bdr w:val="single" w:sz="2" w:space="1" w:color="000000"/>
        </w:rPr>
        <w:t> </w:t>
      </w:r>
    </w:p>
    <w:p>
      <w:pPr>
        <w:pStyle w:val="TextBody"/>
        <w:bidi w:val="0"/>
        <w:spacing w:before="0" w:after="0"/>
        <w:jc w:val="center"/>
        <w:rPr>
          <w:rFonts w:ascii="Times New Roman" w:hAnsi="Times New Roman"/>
          <w:i/>
          <w:sz w:val="18"/>
          <w:bdr w:val="single" w:sz="2" w:space="1" w:color="000000"/>
        </w:rPr>
      </w:pPr>
      <w:r>
        <w:rPr>
          <w:rFonts w:ascii="Times New Roman" w:hAnsi="Times New Roman"/>
          <w:i/>
          <w:sz w:val="18"/>
          <w:bdr w:val="single" w:sz="2" w:space="1" w:color="000000"/>
        </w:rPr>
        <w:t xml:space="preserve">See notes to Consolidated and Combined Financial Statements. </w:t>
      </w:r>
    </w:p>
    <w:p>
      <w:pPr>
        <w:pStyle w:val="TextBody"/>
        <w:bidi w:val="0"/>
        <w:spacing w:before="0" w:after="0"/>
        <w:jc w:val="center"/>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center"/>
        <w:rPr>
          <w:rFonts w:ascii="Times New Roman" w:hAnsi="Times New Roman"/>
          <w:sz w:val="18"/>
          <w:bdr w:val="single" w:sz="2" w:space="1" w:color="000000"/>
        </w:rPr>
      </w:pPr>
      <w:bookmarkStart w:id="16" w:name="Balance_Sheets"/>
      <w:bookmarkEnd w:id="16"/>
      <w:r>
        <w:rPr>
          <w:rFonts w:ascii="Times New Roman" w:hAnsi="Times New Roman"/>
          <w:b/>
          <w:sz w:val="18"/>
          <w:bdr w:val="single" w:sz="2" w:space="1" w:color="000000"/>
        </w:rPr>
        <w:t>Magnera Corporation</w:t>
      </w:r>
      <w:r>
        <w:rPr>
          <w:rFonts w:ascii="Times New Roman" w:hAnsi="Times New Roman"/>
          <w:sz w:val="18"/>
          <w:bdr w:val="single" w:sz="2" w:space="1" w:color="000000"/>
        </w:rPr>
        <w:t xml:space="preserve"> </w:t>
      </w:r>
    </w:p>
    <w:p>
      <w:pPr>
        <w:pStyle w:val="TextBody"/>
        <w:bidi w:val="0"/>
        <w:spacing w:before="0" w:after="0"/>
        <w:jc w:val="center"/>
        <w:rPr>
          <w:rFonts w:ascii="Times New Roman" w:hAnsi="Times New Roman"/>
          <w:sz w:val="18"/>
          <w:bdr w:val="single" w:sz="2" w:space="1" w:color="000000"/>
        </w:rPr>
      </w:pPr>
      <w:r>
        <w:rPr>
          <w:rFonts w:ascii="Times New Roman" w:hAnsi="Times New Roman"/>
          <w:b/>
          <w:sz w:val="18"/>
          <w:bdr w:val="single" w:sz="2" w:space="1" w:color="000000"/>
        </w:rPr>
        <w:t>Consolidated and Combined Balance Sheets</w:t>
      </w:r>
      <w:r>
        <w:rPr>
          <w:rFonts w:ascii="Times New Roman" w:hAnsi="Times New Roman"/>
          <w:sz w:val="18"/>
          <w:bdr w:val="single" w:sz="2" w:space="1" w:color="000000"/>
        </w:rPr>
        <w:t xml:space="preserve"> </w:t>
      </w:r>
    </w:p>
    <w:p>
      <w:pPr>
        <w:pStyle w:val="TextBody"/>
        <w:bidi w:val="0"/>
        <w:spacing w:before="0" w:after="0"/>
        <w:jc w:val="center"/>
        <w:rPr>
          <w:rFonts w:ascii="Times New Roman" w:hAnsi="Times New Roman"/>
          <w:sz w:val="18"/>
          <w:bdr w:val="single" w:sz="2" w:space="1" w:color="000000"/>
        </w:rPr>
      </w:pPr>
      <w:r>
        <w:rPr>
          <w:rFonts w:ascii="Times New Roman" w:hAnsi="Times New Roman"/>
          <w:sz w:val="18"/>
          <w:bdr w:val="single" w:sz="2" w:space="1" w:color="000000"/>
        </w:rPr>
        <w:t xml:space="preserve">(in millions of dollars) </w:t>
      </w:r>
    </w:p>
    <w:p>
      <w:pPr>
        <w:pStyle w:val="TextBody"/>
        <w:bidi w:val="0"/>
        <w:spacing w:before="0" w:after="0"/>
        <w:jc w:val="center"/>
        <w:rPr>
          <w:bdr w:val="single" w:sz="2" w:space="1" w:color="000000"/>
        </w:rPr>
      </w:pPr>
      <w:r>
        <w:rPr>
          <w:bdr w:val="single" w:sz="2" w:space="1" w:color="000000"/>
        </w:rPr>
        <w:t> </w:t>
      </w:r>
    </w:p>
    <w:tbl>
      <w:tblPr>
        <w:tblW w:w="8000" w:type="dxa"/>
        <w:jc w:val="left"/>
        <w:tblInd w:w="0" w:type="dxa"/>
        <w:tblLayout w:type="fixed"/>
        <w:tblCellMar>
          <w:top w:w="0" w:type="dxa"/>
          <w:left w:w="0" w:type="dxa"/>
          <w:bottom w:w="0" w:type="dxa"/>
          <w:right w:w="0" w:type="dxa"/>
        </w:tblCellMar>
      </w:tblPr>
      <w:tblGrid>
        <w:gridCol w:w="4145"/>
        <w:gridCol w:w="90"/>
        <w:gridCol w:w="170"/>
        <w:gridCol w:w="1505"/>
        <w:gridCol w:w="185"/>
        <w:gridCol w:w="90"/>
        <w:gridCol w:w="170"/>
        <w:gridCol w:w="1415"/>
        <w:gridCol w:w="230"/>
      </w:tblGrid>
      <w:tr>
        <w:trPr/>
        <w:tc>
          <w:tcPr>
            <w:tcW w:w="41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center"/>
              <w:rPr>
                <w:b/>
              </w:rPr>
            </w:pPr>
            <w:r>
              <w:rPr>
                <w:b/>
              </w:rPr>
              <w:t>September 27,</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center"/>
              <w:rPr/>
            </w:pPr>
            <w:r>
              <w:rPr/>
              <w:t>September 28,</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5"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505" w:type="dxa"/>
            <w:tcBorders/>
            <w:vAlign w:val="center"/>
          </w:tcPr>
          <w:p>
            <w:pPr>
              <w:pStyle w:val="TableContents"/>
              <w:bidi w:val="0"/>
              <w:spacing w:before="0" w:after="283"/>
              <w:jc w:val="right"/>
              <w:rPr>
                <w:b/>
              </w:rPr>
            </w:pPr>
            <w:r>
              <w:rPr>
                <w:b/>
              </w:rPr>
              <w:t>305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230</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522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359</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474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259</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tcMar>
              <w:bottom w:w="28" w:type="dxa"/>
            </w:tcMar>
            <w:vAlign w:val="center"/>
          </w:tcPr>
          <w:p>
            <w:pPr>
              <w:pStyle w:val="TableContents"/>
              <w:bidi w:val="0"/>
              <w:spacing w:before="0" w:after="283"/>
              <w:jc w:val="right"/>
              <w:rPr>
                <w:b/>
              </w:rPr>
            </w:pPr>
            <w:r>
              <w:rPr>
                <w:b/>
              </w:rPr>
              <w:t>122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38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1,423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886</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Noncurrent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1,476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949</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Goodwill and intangible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890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850</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62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49</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tcMar>
              <w:bottom w:w="28" w:type="dxa"/>
            </w:tcMar>
            <w:vAlign w:val="center"/>
          </w:tcPr>
          <w:p>
            <w:pPr>
              <w:pStyle w:val="TableContents"/>
              <w:bidi w:val="0"/>
              <w:spacing w:before="0" w:after="283"/>
              <w:jc w:val="right"/>
              <w:rPr>
                <w:b/>
              </w:rPr>
            </w:pPr>
            <w:r>
              <w:rPr>
                <w:b/>
              </w:rPr>
              <w:t>138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73</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505" w:type="dxa"/>
            <w:tcBorders>
              <w:bottom w:val="double" w:sz="6" w:space="0" w:color="000000"/>
            </w:tcBorders>
            <w:tcMar>
              <w:bottom w:w="28" w:type="dxa"/>
            </w:tcMar>
            <w:vAlign w:val="center"/>
          </w:tcPr>
          <w:p>
            <w:pPr>
              <w:pStyle w:val="TableContents"/>
              <w:bidi w:val="0"/>
              <w:spacing w:before="0" w:after="283"/>
              <w:jc w:val="right"/>
              <w:rPr>
                <w:b/>
              </w:rPr>
            </w:pPr>
            <w:r>
              <w:rPr>
                <w:b/>
              </w:rPr>
              <w:t>3,989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415" w:type="dxa"/>
            <w:tcBorders>
              <w:bottom w:val="double" w:sz="6" w:space="0" w:color="000000"/>
            </w:tcBorders>
            <w:tcMar>
              <w:bottom w:w="28" w:type="dxa"/>
            </w:tcMar>
            <w:vAlign w:val="center"/>
          </w:tcPr>
          <w:p>
            <w:pPr>
              <w:pStyle w:val="TableContents"/>
              <w:bidi w:val="0"/>
              <w:spacing w:before="0" w:after="283"/>
              <w:jc w:val="right"/>
              <w:rPr/>
            </w:pPr>
            <w:r>
              <w:rPr/>
              <w:t>2,807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b/>
              </w:rPr>
            </w:pPr>
            <w:r>
              <w:rPr>
                <w:b/>
              </w:rPr>
              <w:t>Liabilities and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505" w:type="dxa"/>
            <w:tcBorders/>
            <w:vAlign w:val="center"/>
          </w:tcPr>
          <w:p>
            <w:pPr>
              <w:pStyle w:val="TableContents"/>
              <w:bidi w:val="0"/>
              <w:spacing w:before="0" w:after="283"/>
              <w:jc w:val="right"/>
              <w:rPr>
                <w:b/>
              </w:rPr>
            </w:pPr>
            <w:r>
              <w:rPr>
                <w:b/>
              </w:rPr>
              <w:t>356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295</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Accrued employee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47</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Other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tcMar>
              <w:bottom w:w="28" w:type="dxa"/>
            </w:tcMar>
            <w:vAlign w:val="center"/>
          </w:tcPr>
          <w:p>
            <w:pPr>
              <w:pStyle w:val="TableContents"/>
              <w:bidi w:val="0"/>
              <w:spacing w:before="0" w:after="283"/>
              <w:jc w:val="right"/>
              <w:rPr>
                <w:b/>
              </w:rPr>
            </w:pPr>
            <w:r>
              <w:rPr>
                <w:b/>
              </w:rPr>
              <w:t>155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115</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601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457</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Noncurrent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Long-term 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1,952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78</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39</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Other long-term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tcMar>
              <w:bottom w:w="28" w:type="dxa"/>
            </w:tcMar>
            <w:vAlign w:val="center"/>
          </w:tcPr>
          <w:p>
            <w:pPr>
              <w:pStyle w:val="TableContents"/>
              <w:bidi w:val="0"/>
              <w:spacing w:before="0" w:after="283"/>
              <w:jc w:val="right"/>
              <w:rPr>
                <w:b/>
              </w:rPr>
            </w:pPr>
            <w:r>
              <w:rPr>
                <w:b/>
              </w:rPr>
              <w:t>281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94</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2,925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668</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firstLine="150"/>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Common stock (35.6 million shares issued)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Berry net investment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2,307</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1,417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Retained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(159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Accumulated other comprehensive loss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tcMar>
              <w:bottom w:w="28" w:type="dxa"/>
            </w:tcMar>
            <w:vAlign w:val="center"/>
          </w:tcPr>
          <w:p>
            <w:pPr>
              <w:pStyle w:val="TableContents"/>
              <w:bidi w:val="0"/>
              <w:spacing w:before="0" w:after="283"/>
              <w:jc w:val="right"/>
              <w:rPr>
                <w:b/>
              </w:rPr>
            </w:pPr>
            <w:r>
              <w:rPr>
                <w:b/>
              </w:rPr>
              <w:t>(195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(168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Total equity</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tcMar>
              <w:bottom w:w="28" w:type="dxa"/>
            </w:tcMar>
            <w:vAlign w:val="center"/>
          </w:tcPr>
          <w:p>
            <w:pPr>
              <w:pStyle w:val="TableContents"/>
              <w:bidi w:val="0"/>
              <w:spacing w:before="0" w:after="283"/>
              <w:jc w:val="right"/>
              <w:rPr>
                <w:b/>
              </w:rPr>
            </w:pPr>
            <w:r>
              <w:rPr>
                <w:b/>
              </w:rPr>
              <w:t>1,064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2,139</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Total liabilities and equity</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05" w:type="dxa"/>
            <w:tcBorders>
              <w:bottom w:val="double" w:sz="6" w:space="0" w:color="000000"/>
            </w:tcBorders>
            <w:tcMar>
              <w:bottom w:w="28" w:type="dxa"/>
            </w:tcMar>
            <w:vAlign w:val="center"/>
          </w:tcPr>
          <w:p>
            <w:pPr>
              <w:pStyle w:val="TableContents"/>
              <w:bidi w:val="0"/>
              <w:spacing w:before="0" w:after="283"/>
              <w:jc w:val="right"/>
              <w:rPr>
                <w:b/>
              </w:rPr>
            </w:pPr>
            <w:r>
              <w:rPr>
                <w:b/>
              </w:rPr>
              <w:t>3,989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15" w:type="dxa"/>
            <w:tcBorders>
              <w:bottom w:val="double" w:sz="6" w:space="0" w:color="000000"/>
            </w:tcBorders>
            <w:tcMar>
              <w:bottom w:w="28" w:type="dxa"/>
            </w:tcMar>
            <w:vAlign w:val="center"/>
          </w:tcPr>
          <w:p>
            <w:pPr>
              <w:pStyle w:val="TableContents"/>
              <w:bidi w:val="0"/>
              <w:spacing w:before="0" w:after="283"/>
              <w:jc w:val="right"/>
              <w:rPr/>
            </w:pPr>
            <w:r>
              <w:rPr/>
              <w:t>2,807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bdr w:val="single" w:sz="2" w:space="1" w:color="000000"/>
        </w:rPr>
      </w:pPr>
      <w:r>
        <w:rPr>
          <w:bdr w:val="single" w:sz="2" w:space="1" w:color="000000"/>
        </w:rPr>
        <w:t> </w:t>
      </w:r>
    </w:p>
    <w:p>
      <w:pPr>
        <w:pStyle w:val="TextBody"/>
        <w:bidi w:val="0"/>
        <w:spacing w:before="0" w:after="0"/>
        <w:jc w:val="center"/>
        <w:rPr>
          <w:rFonts w:ascii="Times New Roman" w:hAnsi="Times New Roman"/>
          <w:sz w:val="18"/>
          <w:bdr w:val="single" w:sz="2" w:space="1" w:color="000000"/>
        </w:rPr>
      </w:pPr>
      <w:r>
        <w:rPr>
          <w:rFonts w:ascii="Times New Roman" w:hAnsi="Times New Roman"/>
          <w:i/>
          <w:spacing w:val="0"/>
          <w:sz w:val="18"/>
          <w:bdr w:val="single" w:sz="2" w:space="1" w:color="000000"/>
        </w:rPr>
        <w:t>See notes to Consolidated and Combined Financial Statements.</w:t>
      </w:r>
      <w:r>
        <w:rPr>
          <w:rFonts w:ascii="Times New Roman" w:hAnsi="Times New Roman"/>
          <w:sz w:val="18"/>
          <w:bdr w:val="single" w:sz="2" w:space="1" w:color="000000"/>
        </w:rPr>
        <w:t xml:space="preserve"> </w:t>
      </w:r>
    </w:p>
    <w:p>
      <w:pPr>
        <w:pStyle w:val="TextBody"/>
        <w:bidi w:val="0"/>
        <w:spacing w:before="0" w:after="0"/>
        <w:jc w:val="center"/>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lineRule="atLeast" w:line="252" w:before="0" w:after="0"/>
        <w:jc w:val="center"/>
        <w:rPr>
          <w:rFonts w:ascii="Times New Roman" w:hAnsi="Times New Roman"/>
          <w:sz w:val="18"/>
          <w:bdr w:val="single" w:sz="2" w:space="1" w:color="000000"/>
        </w:rPr>
      </w:pPr>
      <w:bookmarkStart w:id="17" w:name="Statements_of_Cash_Flows"/>
      <w:bookmarkEnd w:id="17"/>
      <w:r>
        <w:rPr>
          <w:rFonts w:ascii="Times New Roman" w:hAnsi="Times New Roman"/>
          <w:b/>
          <w:sz w:val="18"/>
          <w:bdr w:val="single" w:sz="2" w:space="1" w:color="000000"/>
        </w:rPr>
        <w:t>Magnera Corporation</w:t>
      </w:r>
      <w:r>
        <w:rPr>
          <w:rFonts w:ascii="Times New Roman" w:hAnsi="Times New Roman"/>
          <w:sz w:val="18"/>
          <w:bdr w:val="single" w:sz="2" w:space="1" w:color="000000"/>
        </w:rPr>
        <w:t xml:space="preserve"> </w:t>
      </w:r>
    </w:p>
    <w:p>
      <w:pPr>
        <w:pStyle w:val="TextBody"/>
        <w:bidi w:val="0"/>
        <w:spacing w:before="0" w:after="0"/>
        <w:jc w:val="center"/>
        <w:rPr>
          <w:rFonts w:ascii="Times New Roman" w:hAnsi="Times New Roman"/>
          <w:sz w:val="18"/>
          <w:bdr w:val="single" w:sz="2" w:space="1" w:color="000000"/>
        </w:rPr>
      </w:pPr>
      <w:r>
        <w:rPr>
          <w:rFonts w:ascii="Times New Roman" w:hAnsi="Times New Roman"/>
          <w:b/>
          <w:sz w:val="18"/>
          <w:bdr w:val="single" w:sz="2" w:space="1" w:color="000000"/>
        </w:rPr>
        <w:t>Consolidated and Combined Statements of Cash Flows</w:t>
      </w:r>
      <w:r>
        <w:rPr>
          <w:rFonts w:ascii="Times New Roman" w:hAnsi="Times New Roman"/>
          <w:sz w:val="18"/>
          <w:bdr w:val="single" w:sz="2" w:space="1" w:color="000000"/>
        </w:rPr>
        <w:t xml:space="preserve"> </w:t>
      </w:r>
    </w:p>
    <w:p>
      <w:pPr>
        <w:pStyle w:val="TextBody"/>
        <w:bidi w:val="0"/>
        <w:spacing w:before="0" w:after="0"/>
        <w:jc w:val="center"/>
        <w:rPr>
          <w:rFonts w:ascii="Times New Roman" w:hAnsi="Times New Roman"/>
          <w:sz w:val="18"/>
          <w:bdr w:val="single" w:sz="2" w:space="1" w:color="000000"/>
        </w:rPr>
      </w:pPr>
      <w:r>
        <w:rPr>
          <w:rFonts w:ascii="Times New Roman" w:hAnsi="Times New Roman"/>
          <w:sz w:val="18"/>
          <w:bdr w:val="single" w:sz="2" w:space="1" w:color="000000"/>
        </w:rPr>
        <w:t xml:space="preserve">(in millions of dollars) </w:t>
      </w:r>
    </w:p>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4720"/>
        <w:gridCol w:w="90"/>
        <w:gridCol w:w="170"/>
        <w:gridCol w:w="1428"/>
        <w:gridCol w:w="185"/>
        <w:gridCol w:w="90"/>
        <w:gridCol w:w="170"/>
        <w:gridCol w:w="1338"/>
        <w:gridCol w:w="185"/>
        <w:gridCol w:w="90"/>
        <w:gridCol w:w="170"/>
        <w:gridCol w:w="1338"/>
        <w:gridCol w:w="231"/>
      </w:tblGrid>
      <w:tr>
        <w:trPr/>
        <w:tc>
          <w:tcPr>
            <w:tcW w:w="47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95"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Fiscal years ended</w:t>
            </w:r>
          </w:p>
        </w:tc>
      </w:tr>
      <w:tr>
        <w:trPr/>
        <w:tc>
          <w:tcPr>
            <w:tcW w:w="4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center"/>
              <w:rPr>
                <w:b/>
              </w:rPr>
            </w:pPr>
            <w:r>
              <w:rPr>
                <w:b/>
              </w:rPr>
              <w:t>September 27,</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center"/>
              <w:rPr/>
            </w:pPr>
            <w:r>
              <w:rPr/>
              <w:t>September 28,</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center"/>
              <w:rPr/>
            </w:pPr>
            <w:r>
              <w:rPr/>
              <w:t>September 30,</w:t>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8"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38"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38" w:type="dxa"/>
            <w:tcBorders>
              <w:bottom w:val="single" w:sz="2" w:space="0" w:color="000000"/>
            </w:tcBorders>
            <w:tcMar>
              <w:bottom w:w="28" w:type="dxa"/>
            </w:tcMar>
            <w:vAlign w:val="center"/>
          </w:tcPr>
          <w:p>
            <w:pPr>
              <w:pStyle w:val="TableContents"/>
              <w:bidi w:val="0"/>
              <w:spacing w:before="0" w:after="283"/>
              <w:jc w:val="center"/>
              <w:rPr/>
            </w:pPr>
            <w:r>
              <w:rPr/>
              <w:t>2023</w:t>
            </w:r>
          </w:p>
        </w:tc>
        <w:tc>
          <w:tcPr>
            <w:tcW w:w="23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pPr>
            <w:r>
              <w:rPr/>
              <w:t>Net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428" w:type="dxa"/>
            <w:tcBorders/>
            <w:vAlign w:val="center"/>
          </w:tcPr>
          <w:p>
            <w:pPr>
              <w:pStyle w:val="TableContents"/>
              <w:bidi w:val="0"/>
              <w:spacing w:before="0" w:after="283"/>
              <w:jc w:val="right"/>
              <w:rPr>
                <w:b/>
              </w:rPr>
            </w:pPr>
            <w:r>
              <w:rPr>
                <w:b/>
              </w:rPr>
              <w:t>(159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38" w:type="dxa"/>
            <w:tcBorders/>
            <w:vAlign w:val="center"/>
          </w:tcPr>
          <w:p>
            <w:pPr>
              <w:pStyle w:val="TableContents"/>
              <w:bidi w:val="0"/>
              <w:spacing w:before="0" w:after="283"/>
              <w:jc w:val="right"/>
              <w:rPr/>
            </w:pPr>
            <w:r>
              <w:rPr/>
              <w:t>(154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38" w:type="dxa"/>
            <w:tcBorders/>
            <w:vAlign w:val="center"/>
          </w:tcPr>
          <w:p>
            <w:pPr>
              <w:pStyle w:val="TableContents"/>
              <w:bidi w:val="0"/>
              <w:spacing w:before="0" w:after="283"/>
              <w:jc w:val="right"/>
              <w:rPr/>
            </w:pPr>
            <w:r>
              <w:rPr/>
              <w:t>38</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Adjustments to reconcile net cash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pPr>
            <w:r>
              <w:rPr/>
              <w:t>Depreciation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156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127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118</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Amortization of intangibles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48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51</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Non-cash 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5</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Goodwill and other impairment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172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7</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Deferred income tax</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(9</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Other non-cash operating activities,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(10</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63</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49</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Prepaid expenses and other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(22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Accounts payable and other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8" w:type="dxa"/>
            <w:tcBorders>
              <w:bottom w:val="single" w:sz="2" w:space="0" w:color="000000"/>
            </w:tcBorders>
            <w:tcMar>
              <w:bottom w:w="28" w:type="dxa"/>
            </w:tcMar>
            <w:vAlign w:val="center"/>
          </w:tcPr>
          <w:p>
            <w:pPr>
              <w:pStyle w:val="TableContents"/>
              <w:bidi w:val="0"/>
              <w:spacing w:before="0" w:after="283"/>
              <w:jc w:val="right"/>
              <w:rPr>
                <w:b/>
              </w:rPr>
            </w:pPr>
            <w:r>
              <w:rPr>
                <w:b/>
              </w:rPr>
              <w:t>(17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8" w:type="dxa"/>
            <w:tcBorders>
              <w:bottom w:val="single" w:sz="2" w:space="0" w:color="000000"/>
            </w:tcBorders>
            <w:tcMar>
              <w:bottom w:w="28" w:type="dxa"/>
            </w:tcMar>
            <w:vAlign w:val="center"/>
          </w:tcPr>
          <w:p>
            <w:pPr>
              <w:pStyle w:val="TableContents"/>
              <w:bidi w:val="0"/>
              <w:spacing w:before="0" w:after="283"/>
              <w:jc w:val="right"/>
              <w:rPr/>
            </w:pPr>
            <w:r>
              <w:rPr/>
              <w:t>40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8" w:type="dxa"/>
            <w:tcBorders>
              <w:bottom w:val="single" w:sz="2" w:space="0" w:color="000000"/>
            </w:tcBorders>
            <w:tcMar>
              <w:bottom w:w="28" w:type="dxa"/>
            </w:tcMar>
            <w:vAlign w:val="center"/>
          </w:tcPr>
          <w:p>
            <w:pPr>
              <w:pStyle w:val="TableContents"/>
              <w:bidi w:val="0"/>
              <w:spacing w:before="0" w:after="283"/>
              <w:jc w:val="right"/>
              <w:rPr/>
            </w:pPr>
            <w:r>
              <w:rPr/>
              <w:t>(55</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Net cash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103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192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257</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pPr>
            <w:r>
              <w:rPr/>
              <w:t>Additions to 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(67</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(88</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Cash acquired from GLT acquisition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Settlement of net investment hedges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22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Proceeds from sale of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Other investing activities and other</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8"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8" w:type="dxa"/>
            <w:tcBorders>
              <w:bottom w:val="single" w:sz="2" w:space="0" w:color="000000"/>
            </w:tcBorders>
            <w:tcMar>
              <w:bottom w:w="28" w:type="dxa"/>
            </w:tcMar>
            <w:vAlign w:val="center"/>
          </w:tcPr>
          <w:p>
            <w:pPr>
              <w:pStyle w:val="TableContents"/>
              <w:bidi w:val="0"/>
              <w:spacing w:before="0" w:after="283"/>
              <w:jc w:val="right"/>
              <w:rPr/>
            </w:pPr>
            <w:r>
              <w:rPr/>
              <w:t>29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8" w:type="dxa"/>
            <w:tcBorders>
              <w:bottom w:val="single" w:sz="2" w:space="0" w:color="000000"/>
            </w:tcBorders>
            <w:tcMar>
              <w:bottom w:w="28" w:type="dxa"/>
            </w:tcMar>
            <w:vAlign w:val="center"/>
          </w:tcPr>
          <w:p>
            <w:pPr>
              <w:pStyle w:val="TableContents"/>
              <w:bidi w:val="0"/>
              <w:spacing w:before="0" w:after="283"/>
              <w:jc w:val="right"/>
              <w:rPr/>
            </w:pPr>
            <w:r>
              <w:rPr/>
              <w:t>—</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(88</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pPr>
            <w:r>
              <w:rPr/>
              <w:t>Proceeds from long-term borrowings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1,556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pPr>
            <w:r>
              <w:rPr/>
              <w:t>Repayments on long-term borrowings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(484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(4</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Transfers from (to) Berry,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(107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(206</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Cash distribution to Berry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(1,111</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pPr>
            <w:r>
              <w:rPr/>
              <w:t>Debt fees and other, net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8" w:type="dxa"/>
            <w:tcBorders>
              <w:bottom w:val="single" w:sz="2" w:space="0" w:color="000000"/>
            </w:tcBorders>
            <w:tcMar>
              <w:bottom w:w="28" w:type="dxa"/>
            </w:tcMar>
            <w:vAlign w:val="center"/>
          </w:tcPr>
          <w:p>
            <w:pPr>
              <w:pStyle w:val="TableContents"/>
              <w:bidi w:val="0"/>
              <w:spacing w:before="0" w:after="283"/>
              <w:jc w:val="right"/>
              <w:rPr>
                <w:b/>
              </w:rPr>
            </w:pPr>
            <w:r>
              <w:rPr>
                <w:b/>
              </w:rPr>
              <w:t>(16</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38"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38" w:type="dxa"/>
            <w:tcBorders>
              <w:bottom w:val="single" w:sz="2" w:space="0" w:color="000000"/>
            </w:tcBorders>
            <w:tcMar>
              <w:bottom w:w="28" w:type="dxa"/>
            </w:tcMar>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pPr>
            <w:r>
              <w:rPr/>
              <w:t>Net cash used in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(109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(210</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Effect of currency translation on cash</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8" w:type="dxa"/>
            <w:tcBorders>
              <w:bottom w:val="single" w:sz="2" w:space="0" w:color="000000"/>
            </w:tcBorders>
            <w:tcMar>
              <w:bottom w:w="28" w:type="dxa"/>
            </w:tcMar>
            <w:vAlign w:val="center"/>
          </w:tcPr>
          <w:p>
            <w:pPr>
              <w:pStyle w:val="TableContents"/>
              <w:bidi w:val="0"/>
              <w:spacing w:before="0" w:after="283"/>
              <w:jc w:val="right"/>
              <w:rPr>
                <w:b/>
              </w:rPr>
            </w:pPr>
            <w:r>
              <w:rPr>
                <w:b/>
              </w:rPr>
              <w:t>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8" w:type="dxa"/>
            <w:tcBorders>
              <w:bottom w:val="single" w:sz="2" w:space="0" w:color="000000"/>
            </w:tcBorders>
            <w:tcMar>
              <w:bottom w:w="28" w:type="dxa"/>
            </w:tcMar>
            <w:vAlign w:val="center"/>
          </w:tcPr>
          <w:p>
            <w:pPr>
              <w:pStyle w:val="TableContents"/>
              <w:bidi w:val="0"/>
              <w:spacing w:before="0" w:after="283"/>
              <w:jc w:val="right"/>
              <w:rPr/>
            </w:pPr>
            <w:r>
              <w:rPr/>
              <w:t>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8" w:type="dxa"/>
            <w:tcBorders>
              <w:bottom w:val="single" w:sz="2" w:space="0" w:color="000000"/>
            </w:tcBorders>
            <w:tcMar>
              <w:bottom w:w="28" w:type="dxa"/>
            </w:tcMar>
            <w:vAlign w:val="center"/>
          </w:tcPr>
          <w:p>
            <w:pPr>
              <w:pStyle w:val="TableContents"/>
              <w:bidi w:val="0"/>
              <w:spacing w:before="0" w:after="283"/>
              <w:jc w:val="right"/>
              <w:rPr/>
            </w:pPr>
            <w:r>
              <w:rPr/>
              <w:t>13</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Net change in 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b/>
              </w:rPr>
            </w:pPr>
            <w:r>
              <w:rPr>
                <w:b/>
              </w:rPr>
              <w:t>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(28</w:t>
            </w:r>
          </w:p>
        </w:tc>
        <w:tc>
          <w:tcPr>
            <w:tcW w:w="231"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Cash and cash equivalents at beginning of period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8" w:type="dxa"/>
            <w:tcBorders>
              <w:bottom w:val="single" w:sz="2" w:space="0" w:color="000000"/>
            </w:tcBorders>
            <w:tcMar>
              <w:bottom w:w="28" w:type="dxa"/>
            </w:tcMar>
            <w:vAlign w:val="center"/>
          </w:tcPr>
          <w:p>
            <w:pPr>
              <w:pStyle w:val="TableContents"/>
              <w:bidi w:val="0"/>
              <w:spacing w:before="0" w:after="283"/>
              <w:jc w:val="right"/>
              <w:rPr>
                <w:b/>
              </w:rPr>
            </w:pPr>
            <w:r>
              <w:rPr>
                <w:b/>
              </w:rPr>
              <w:t>230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8" w:type="dxa"/>
            <w:tcBorders>
              <w:bottom w:val="single" w:sz="2" w:space="0" w:color="000000"/>
            </w:tcBorders>
            <w:tcMar>
              <w:bottom w:w="28" w:type="dxa"/>
            </w:tcMar>
            <w:vAlign w:val="center"/>
          </w:tcPr>
          <w:p>
            <w:pPr>
              <w:pStyle w:val="TableContents"/>
              <w:bidi w:val="0"/>
              <w:spacing w:before="0" w:after="283"/>
              <w:jc w:val="right"/>
              <w:rPr/>
            </w:pPr>
            <w:r>
              <w:rPr/>
              <w:t>185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8" w:type="dxa"/>
            <w:tcBorders>
              <w:bottom w:val="single" w:sz="2" w:space="0" w:color="000000"/>
            </w:tcBorders>
            <w:tcMar>
              <w:bottom w:w="28" w:type="dxa"/>
            </w:tcMar>
            <w:vAlign w:val="center"/>
          </w:tcPr>
          <w:p>
            <w:pPr>
              <w:pStyle w:val="TableContents"/>
              <w:bidi w:val="0"/>
              <w:spacing w:before="0" w:after="283"/>
              <w:jc w:val="right"/>
              <w:rPr/>
            </w:pPr>
            <w:r>
              <w:rPr/>
              <w:t>213</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Cash and cash equivalents at the end of period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428" w:type="dxa"/>
            <w:tcBorders>
              <w:bottom w:val="double" w:sz="6" w:space="0" w:color="000000"/>
            </w:tcBorders>
            <w:tcMar>
              <w:bottom w:w="28" w:type="dxa"/>
            </w:tcMar>
            <w:vAlign w:val="center"/>
          </w:tcPr>
          <w:p>
            <w:pPr>
              <w:pStyle w:val="TableContents"/>
              <w:bidi w:val="0"/>
              <w:spacing w:before="0" w:after="283"/>
              <w:jc w:val="right"/>
              <w:rPr>
                <w:b/>
              </w:rPr>
            </w:pPr>
            <w:r>
              <w:rPr>
                <w:b/>
              </w:rPr>
              <w:t>305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38" w:type="dxa"/>
            <w:tcBorders>
              <w:bottom w:val="double" w:sz="6" w:space="0" w:color="000000"/>
            </w:tcBorders>
            <w:tcMar>
              <w:bottom w:w="28" w:type="dxa"/>
            </w:tcMar>
            <w:vAlign w:val="center"/>
          </w:tcPr>
          <w:p>
            <w:pPr>
              <w:pStyle w:val="TableContents"/>
              <w:bidi w:val="0"/>
              <w:spacing w:before="0" w:after="283"/>
              <w:jc w:val="right"/>
              <w:rPr/>
            </w:pPr>
            <w:r>
              <w:rPr/>
              <w:t>230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38" w:type="dxa"/>
            <w:tcBorders>
              <w:bottom w:val="double" w:sz="6" w:space="0" w:color="000000"/>
            </w:tcBorders>
            <w:tcMar>
              <w:bottom w:w="28" w:type="dxa"/>
            </w:tcMar>
            <w:vAlign w:val="center"/>
          </w:tcPr>
          <w:p>
            <w:pPr>
              <w:pStyle w:val="TableContents"/>
              <w:bidi w:val="0"/>
              <w:spacing w:before="0" w:after="283"/>
              <w:jc w:val="right"/>
              <w:rPr/>
            </w:pPr>
            <w:r>
              <w:rPr/>
              <w:t>185</w:t>
            </w:r>
          </w:p>
        </w:tc>
        <w:tc>
          <w:tcPr>
            <w:tcW w:w="231"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18"/>
          <w:bdr w:val="single" w:sz="2" w:space="1" w:color="000000"/>
        </w:rPr>
      </w:pPr>
      <w:r>
        <w:rPr>
          <w:rFonts w:ascii="Times New Roman" w:hAnsi="Times New Roman"/>
          <w:i/>
          <w:spacing w:val="0"/>
          <w:sz w:val="18"/>
          <w:bdr w:val="single" w:sz="2" w:space="1" w:color="000000"/>
        </w:rPr>
        <w:t>See notes to Consolidated and Combined Financial Statements.</w:t>
      </w:r>
      <w:r>
        <w:rPr>
          <w:rFonts w:ascii="Times New Roman" w:hAnsi="Times New Roman"/>
          <w:sz w:val="18"/>
          <w:bdr w:val="single" w:sz="2" w:space="1" w:color="000000"/>
        </w:rPr>
        <w:t xml:space="preserve"> </w:t>
      </w:r>
    </w:p>
    <w:p>
      <w:pPr>
        <w:pStyle w:val="TextBody"/>
        <w:bidi w:val="0"/>
        <w:spacing w:before="0" w:after="0"/>
        <w:jc w:val="center"/>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16</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lineRule="atLeast" w:line="252" w:before="0" w:after="0"/>
        <w:jc w:val="center"/>
        <w:rPr>
          <w:rFonts w:ascii="Times New Roman" w:hAnsi="Times New Roman"/>
          <w:sz w:val="18"/>
          <w:bdr w:val="single" w:sz="2" w:space="1" w:color="000000"/>
        </w:rPr>
      </w:pPr>
      <w:bookmarkStart w:id="18" w:name="Statements_of_Stockholders_Equity"/>
      <w:bookmarkEnd w:id="18"/>
      <w:r>
        <w:rPr>
          <w:rFonts w:ascii="Times New Roman" w:hAnsi="Times New Roman"/>
          <w:b/>
          <w:sz w:val="20"/>
          <w:bdr w:val="single" w:sz="2" w:space="1" w:color="000000"/>
        </w:rPr>
        <w:t>Magnera Corporation</w:t>
      </w:r>
      <w:r>
        <w:rPr>
          <w:rFonts w:ascii="Times New Roman" w:hAnsi="Times New Roman"/>
          <w:sz w:val="18"/>
          <w:bdr w:val="single" w:sz="2" w:space="1" w:color="000000"/>
        </w:rPr>
        <w:t xml:space="preserve"> </w:t>
      </w:r>
    </w:p>
    <w:p>
      <w:pPr>
        <w:pStyle w:val="TextBody"/>
        <w:bidi w:val="0"/>
        <w:spacing w:lineRule="atLeast" w:line="252" w:before="0" w:after="0"/>
        <w:jc w:val="center"/>
        <w:rPr>
          <w:rFonts w:ascii="Times New Roman" w:hAnsi="Times New Roman"/>
          <w:sz w:val="18"/>
          <w:bdr w:val="single" w:sz="2" w:space="1" w:color="000000"/>
        </w:rPr>
      </w:pPr>
      <w:r>
        <w:rPr>
          <w:rFonts w:ascii="Times New Roman" w:hAnsi="Times New Roman"/>
          <w:b/>
          <w:sz w:val="20"/>
          <w:bdr w:val="single" w:sz="2" w:space="1" w:color="000000"/>
        </w:rPr>
        <w:t>Consolidated and Combined Statements of Changes in Equity</w:t>
      </w:r>
      <w:r>
        <w:rPr>
          <w:rFonts w:ascii="Times New Roman" w:hAnsi="Times New Roman"/>
          <w:sz w:val="18"/>
          <w:bdr w:val="single" w:sz="2" w:space="1" w:color="000000"/>
        </w:rPr>
        <w:t xml:space="preserve"> </w:t>
      </w:r>
    </w:p>
    <w:p>
      <w:pPr>
        <w:pStyle w:val="TextBody"/>
        <w:bidi w:val="0"/>
        <w:spacing w:lineRule="atLeast" w:line="243" w:before="0" w:after="0"/>
        <w:jc w:val="center"/>
        <w:rPr>
          <w:rFonts w:ascii="Times New Roman" w:hAnsi="Times New Roman"/>
          <w:sz w:val="18"/>
          <w:bdr w:val="single" w:sz="2" w:space="1" w:color="000000"/>
        </w:rPr>
      </w:pPr>
      <w:r>
        <w:rPr>
          <w:rFonts w:ascii="Times New Roman" w:hAnsi="Times New Roman"/>
          <w:sz w:val="16"/>
          <w:bdr w:val="single" w:sz="2" w:space="1" w:color="000000"/>
        </w:rPr>
        <w:t>(in millions of dollars)</w:t>
      </w:r>
      <w:r>
        <w:rPr>
          <w:rFonts w:ascii="Times New Roman" w:hAnsi="Times New Roman"/>
          <w:sz w:val="18"/>
          <w:bdr w:val="single" w:sz="2" w:space="1" w:color="000000"/>
        </w:rPr>
        <w:t xml:space="preserve"> </w:t>
      </w:r>
    </w:p>
    <w:p>
      <w:pPr>
        <w:pStyle w:val="TextBody"/>
        <w:bidi w:val="0"/>
        <w:spacing w:lineRule="atLeast" w:line="243" w:before="0" w:after="0"/>
        <w:jc w:val="center"/>
        <w:rPr>
          <w:bdr w:val="single" w:sz="2" w:space="1" w:color="000000"/>
        </w:rPr>
      </w:pPr>
      <w:r>
        <w:rPr>
          <w:bdr w:val="single" w:sz="2" w:space="1" w:color="000000"/>
        </w:rPr>
        <w:t> </w:t>
      </w:r>
    </w:p>
    <w:tbl>
      <w:tblPr>
        <w:tblW w:w="10660" w:type="dxa"/>
        <w:jc w:val="left"/>
        <w:tblInd w:w="0" w:type="dxa"/>
        <w:tblLayout w:type="fixed"/>
        <w:tblCellMar>
          <w:top w:w="0" w:type="dxa"/>
          <w:left w:w="0" w:type="dxa"/>
          <w:bottom w:w="0" w:type="dxa"/>
          <w:right w:w="0" w:type="dxa"/>
        </w:tblCellMar>
      </w:tblPr>
      <w:tblGrid>
        <w:gridCol w:w="1490"/>
        <w:gridCol w:w="90"/>
        <w:gridCol w:w="170"/>
        <w:gridCol w:w="995"/>
        <w:gridCol w:w="90"/>
        <w:gridCol w:w="90"/>
        <w:gridCol w:w="170"/>
        <w:gridCol w:w="1175"/>
        <w:gridCol w:w="185"/>
        <w:gridCol w:w="90"/>
        <w:gridCol w:w="170"/>
        <w:gridCol w:w="1130"/>
        <w:gridCol w:w="90"/>
        <w:gridCol w:w="90"/>
        <w:gridCol w:w="170"/>
        <w:gridCol w:w="1640"/>
        <w:gridCol w:w="185"/>
        <w:gridCol w:w="90"/>
        <w:gridCol w:w="170"/>
        <w:gridCol w:w="965"/>
        <w:gridCol w:w="185"/>
        <w:gridCol w:w="90"/>
        <w:gridCol w:w="170"/>
        <w:gridCol w:w="740"/>
        <w:gridCol w:w="230"/>
      </w:tblGrid>
      <w:tr>
        <w:trPr/>
        <w:tc>
          <w:tcPr>
            <w:tcW w:w="14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b/>
              </w:rPr>
            </w:pPr>
            <w:r>
              <w:rPr>
                <w:b/>
              </w:rPr>
              <w:t>Accumulated Other</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b/>
              </w:rPr>
            </w:pPr>
            <w:r>
              <w:rPr>
                <w:b/>
              </w:rPr>
              <w:t>Comprehensive</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Common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b/>
              </w:rPr>
            </w:pPr>
            <w:r>
              <w:rPr>
                <w:b/>
              </w:rPr>
              <w:t>Berry Net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b/>
              </w:rPr>
            </w:pPr>
            <w:r>
              <w:rPr>
                <w:b/>
              </w:rPr>
              <w:t>Income (Loss)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b/>
              </w:rPr>
            </w:pPr>
            <w:r>
              <w:rPr>
                <w:b/>
              </w:rPr>
              <w:t>Retained</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b/>
              </w:rPr>
            </w:pPr>
            <w:r>
              <w:rPr>
                <w:b/>
              </w:rPr>
              <w:t>Total</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center"/>
              <w:rPr>
                <w:b/>
              </w:rPr>
            </w:pPr>
            <w:r>
              <w:rPr>
                <w:b/>
              </w:rPr>
              <w:t>Stock</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center"/>
              <w:rPr>
                <w:b/>
              </w:rPr>
            </w:pPr>
            <w:r>
              <w:rPr>
                <w:b/>
              </w:rPr>
              <w:t>Investment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center"/>
              <w:rPr>
                <w:b/>
              </w:rPr>
            </w:pPr>
            <w:r>
              <w:rPr>
                <w:b/>
              </w:rPr>
              <w:t>Paid-in Capital</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b/>
              </w:rPr>
            </w:pPr>
            <w:r>
              <w:rPr>
                <w:b/>
              </w:rPr>
              <w:t>Currency Translation</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65" w:type="dxa"/>
            <w:tcBorders>
              <w:bottom w:val="single" w:sz="2" w:space="0" w:color="000000"/>
            </w:tcBorders>
            <w:tcMar>
              <w:bottom w:w="28" w:type="dxa"/>
            </w:tcMar>
            <w:vAlign w:val="center"/>
          </w:tcPr>
          <w:p>
            <w:pPr>
              <w:pStyle w:val="TableContents"/>
              <w:bidi w:val="0"/>
              <w:spacing w:before="0" w:after="283"/>
              <w:jc w:val="center"/>
              <w:rPr>
                <w:b/>
              </w:rPr>
            </w:pPr>
            <w:r>
              <w:rPr>
                <w:b/>
              </w:rPr>
              <w:t>Loss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tcMar>
              <w:bottom w:w="28" w:type="dxa"/>
            </w:tcMar>
            <w:vAlign w:val="center"/>
          </w:tcPr>
          <w:p>
            <w:pPr>
              <w:pStyle w:val="TableContents"/>
              <w:bidi w:val="0"/>
              <w:spacing w:before="0" w:after="283"/>
              <w:jc w:val="center"/>
              <w:rPr>
                <w:b/>
              </w:rPr>
            </w:pPr>
            <w:r>
              <w:rPr>
                <w:b/>
              </w:rPr>
              <w:t>Equity</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xml:space="preserve">Balance at October 2, 2022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2,724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right"/>
              <w:rPr/>
            </w:pPr>
            <w:r>
              <w:rPr/>
              <w:t>(237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2,487</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38</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66</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Transfers to Berry, net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right"/>
              <w:rPr/>
            </w:pPr>
            <w:r>
              <w:rPr/>
              <w:t>(201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6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tcMar>
              <w:bottom w:w="28" w:type="dxa"/>
            </w:tcMar>
            <w:vAlign w:val="center"/>
          </w:tcPr>
          <w:p>
            <w:pPr>
              <w:pStyle w:val="TableContents"/>
              <w:bidi w:val="0"/>
              <w:spacing w:before="0" w:after="283"/>
              <w:jc w:val="right"/>
              <w:rPr/>
            </w:pPr>
            <w:r>
              <w:rPr/>
              <w:t>(201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September 30, 2023</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2,561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right"/>
              <w:rPr/>
            </w:pPr>
            <w:r>
              <w:rPr/>
              <w:t>(171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2,390</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(154</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Transfers to Berry, net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right"/>
              <w:rPr/>
            </w:pPr>
            <w:r>
              <w:rPr/>
              <w:t>(100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6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tcMar>
              <w:bottom w:w="28" w:type="dxa"/>
            </w:tcMar>
            <w:vAlign w:val="center"/>
          </w:tcPr>
          <w:p>
            <w:pPr>
              <w:pStyle w:val="TableContents"/>
              <w:bidi w:val="0"/>
              <w:spacing w:before="0" w:after="283"/>
              <w:jc w:val="right"/>
              <w:rPr/>
            </w:pPr>
            <w:r>
              <w:rPr/>
              <w:t>(100</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September 28, 2024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2,307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right"/>
              <w:rPr/>
            </w:pPr>
            <w:r>
              <w:rPr/>
              <w:t>(168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2,139</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b/>
              </w:rPr>
            </w:pPr>
            <w:r>
              <w:rPr>
                <w:b/>
              </w:rPr>
              <w:t>(159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(159</w:t>
            </w:r>
          </w:p>
        </w:tc>
        <w:tc>
          <w:tcPr>
            <w:tcW w:w="230" w:type="dxa"/>
            <w:tcBorders/>
            <w:vAlign w:val="center"/>
          </w:tcPr>
          <w:p>
            <w:pPr>
              <w:pStyle w:val="TableContents"/>
              <w:bidi w:val="0"/>
              <w:spacing w:before="0" w:after="283"/>
              <w:jc w:val="left"/>
              <w:rPr>
                <w:b/>
              </w:rPr>
            </w:pPr>
            <w:r>
              <w:rPr>
                <w:b/>
              </w:rPr>
              <w:t>) </w:t>
            </w:r>
          </w:p>
        </w:tc>
      </w:tr>
      <w:tr>
        <w:trPr/>
        <w:tc>
          <w:tcPr>
            <w:tcW w:w="1490"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(27</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(27</w:t>
            </w:r>
          </w:p>
        </w:tc>
        <w:tc>
          <w:tcPr>
            <w:tcW w:w="230" w:type="dxa"/>
            <w:tcBorders/>
            <w:vAlign w:val="center"/>
          </w:tcPr>
          <w:p>
            <w:pPr>
              <w:pStyle w:val="TableContents"/>
              <w:bidi w:val="0"/>
              <w:spacing w:before="0" w:after="283"/>
              <w:jc w:val="left"/>
              <w:rPr>
                <w:b/>
              </w:rPr>
            </w:pPr>
            <w:r>
              <w:rPr>
                <w:b/>
              </w:rPr>
              <w:t>) </w:t>
            </w:r>
          </w:p>
        </w:tc>
      </w:tr>
      <w:tr>
        <w:trPr/>
        <w:tc>
          <w:tcPr>
            <w:tcW w:w="1490" w:type="dxa"/>
            <w:tcBorders/>
            <w:vAlign w:val="center"/>
          </w:tcPr>
          <w:p>
            <w:pPr>
              <w:pStyle w:val="TableContents"/>
              <w:bidi w:val="0"/>
              <w:spacing w:before="0" w:after="283"/>
              <w:jc w:val="left"/>
              <w:rPr/>
            </w:pPr>
            <w:r>
              <w:rPr/>
              <w:t>Transfers to Berry,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(1,111</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(1,111</w:t>
            </w:r>
          </w:p>
        </w:tc>
        <w:tc>
          <w:tcPr>
            <w:tcW w:w="230" w:type="dxa"/>
            <w:tcBorders/>
            <w:vAlign w:val="center"/>
          </w:tcPr>
          <w:p>
            <w:pPr>
              <w:pStyle w:val="TableContents"/>
              <w:bidi w:val="0"/>
              <w:spacing w:before="0" w:after="283"/>
              <w:jc w:val="left"/>
              <w:rPr>
                <w:b/>
              </w:rPr>
            </w:pPr>
            <w:r>
              <w:rPr>
                <w:b/>
              </w:rPr>
              <w:t>) </w:t>
            </w:r>
          </w:p>
        </w:tc>
      </w:tr>
      <w:tr>
        <w:trPr/>
        <w:tc>
          <w:tcPr>
            <w:tcW w:w="1490" w:type="dxa"/>
            <w:tcBorders/>
            <w:vAlign w:val="center"/>
          </w:tcPr>
          <w:p>
            <w:pPr>
              <w:pStyle w:val="TableContents"/>
              <w:bidi w:val="0"/>
              <w:spacing w:before="0" w:after="283"/>
              <w:jc w:val="left"/>
              <w:rPr/>
            </w:pPr>
            <w:r>
              <w:rPr/>
              <w:t>October net investment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129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129</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Distribution of Berry’s net investment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b/>
              </w:rPr>
            </w:pPr>
            <w:r>
              <w:rPr>
                <w:b/>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(1,325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Acquisition of GLT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74</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b/>
              </w:rPr>
            </w:pPr>
            <w:r>
              <w:rPr>
                <w:b/>
              </w:rPr>
              <w:t>19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6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tcMar>
              <w:bottom w:w="28" w:type="dxa"/>
            </w:tcMar>
            <w:vAlign w:val="center"/>
          </w:tcPr>
          <w:p>
            <w:pPr>
              <w:pStyle w:val="TableContents"/>
              <w:bidi w:val="0"/>
              <w:spacing w:before="0" w:after="283"/>
              <w:jc w:val="right"/>
              <w:rPr>
                <w:b/>
              </w:rPr>
            </w:pPr>
            <w:r>
              <w:rPr>
                <w:b/>
              </w:rPr>
              <w:t>19</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September 27, 2025</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tcMar>
              <w:bottom w:w="28" w:type="dxa"/>
            </w:tcMar>
            <w:vAlign w:val="center"/>
          </w:tcPr>
          <w:p>
            <w:pPr>
              <w:pStyle w:val="TableContents"/>
              <w:bidi w:val="0"/>
              <w:spacing w:before="0" w:after="283"/>
              <w:jc w:val="right"/>
              <w:rPr>
                <w:b/>
              </w:rPr>
            </w:pPr>
            <w:r>
              <w:rPr>
                <w:b/>
              </w:rPr>
              <w:t>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6" w:space="0" w:color="000000"/>
            </w:tcBorders>
            <w:tcMar>
              <w:bottom w:w="28" w:type="dxa"/>
            </w:tcMar>
            <w:vAlign w:val="center"/>
          </w:tcPr>
          <w:p>
            <w:pPr>
              <w:pStyle w:val="TableContents"/>
              <w:bidi w:val="0"/>
              <w:spacing w:before="0" w:after="283"/>
              <w:jc w:val="right"/>
              <w:rPr>
                <w:b/>
              </w:rPr>
            </w:pPr>
            <w:r>
              <w:rPr>
                <w:b/>
              </w:rPr>
              <w:t>1,417</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640" w:type="dxa"/>
            <w:tcBorders>
              <w:bottom w:val="double" w:sz="6" w:space="0" w:color="000000"/>
            </w:tcBorders>
            <w:tcMar>
              <w:bottom w:w="28" w:type="dxa"/>
            </w:tcMar>
            <w:vAlign w:val="center"/>
          </w:tcPr>
          <w:p>
            <w:pPr>
              <w:pStyle w:val="TableContents"/>
              <w:bidi w:val="0"/>
              <w:spacing w:before="0" w:after="283"/>
              <w:jc w:val="right"/>
              <w:rPr>
                <w:b/>
              </w:rPr>
            </w:pPr>
            <w:r>
              <w:rPr>
                <w:b/>
              </w:rPr>
              <w:t>(195</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65" w:type="dxa"/>
            <w:tcBorders>
              <w:bottom w:val="double" w:sz="6" w:space="0" w:color="000000"/>
            </w:tcBorders>
            <w:tcMar>
              <w:bottom w:w="28" w:type="dxa"/>
            </w:tcMar>
            <w:vAlign w:val="center"/>
          </w:tcPr>
          <w:p>
            <w:pPr>
              <w:pStyle w:val="TableContents"/>
              <w:bidi w:val="0"/>
              <w:spacing w:before="0" w:after="283"/>
              <w:jc w:val="right"/>
              <w:rPr>
                <w:b/>
              </w:rPr>
            </w:pPr>
            <w:r>
              <w:rPr>
                <w:b/>
              </w:rPr>
              <w:t>(159</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40" w:type="dxa"/>
            <w:tcBorders>
              <w:bottom w:val="double" w:sz="6" w:space="0" w:color="000000"/>
            </w:tcBorders>
            <w:tcMar>
              <w:bottom w:w="28" w:type="dxa"/>
            </w:tcMar>
            <w:vAlign w:val="center"/>
          </w:tcPr>
          <w:p>
            <w:pPr>
              <w:pStyle w:val="TableContents"/>
              <w:bidi w:val="0"/>
              <w:spacing w:before="0" w:after="283"/>
              <w:jc w:val="right"/>
              <w:rPr>
                <w:b/>
              </w:rPr>
            </w:pPr>
            <w:r>
              <w:rPr>
                <w:b/>
              </w:rPr>
              <w:t>1,064</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tLeast" w:line="243" w:before="0" w:after="0"/>
        <w:jc w:val="center"/>
        <w:rPr>
          <w:bdr w:val="single" w:sz="2" w:space="1" w:color="000000"/>
        </w:rPr>
      </w:pPr>
      <w:r>
        <w:rPr>
          <w:bdr w:val="single" w:sz="2" w:space="1" w:color="000000"/>
        </w:rPr>
        <w:t> </w:t>
      </w:r>
    </w:p>
    <w:p>
      <w:pPr>
        <w:pStyle w:val="TextBody"/>
        <w:bidi w:val="0"/>
        <w:spacing w:lineRule="atLeast" w:line="243" w:before="0" w:after="0"/>
        <w:jc w:val="center"/>
        <w:rPr>
          <w:rFonts w:ascii="Times New Roman" w:hAnsi="Times New Roman"/>
          <w:sz w:val="18"/>
          <w:bdr w:val="single" w:sz="2" w:space="1" w:color="000000"/>
        </w:rPr>
      </w:pPr>
      <w:r>
        <w:rPr>
          <w:rFonts w:ascii="Times New Roman" w:hAnsi="Times New Roman"/>
          <w:i/>
          <w:spacing w:val="0"/>
          <w:sz w:val="18"/>
          <w:bdr w:val="single" w:sz="2" w:space="1" w:color="000000"/>
        </w:rPr>
        <w:t>See notes to Consolidated and Combined Financial Statements.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17</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lineRule="atLeast" w:line="243" w:before="0" w:after="0"/>
        <w:jc w:val="center"/>
        <w:rPr>
          <w:rFonts w:ascii="Times New Roman" w:hAnsi="Times New Roman"/>
          <w:sz w:val="18"/>
          <w:bdr w:val="single" w:sz="2" w:space="1" w:color="000000"/>
        </w:rPr>
      </w:pPr>
      <w:bookmarkStart w:id="19" w:name="Notes_to_Financial_Statements"/>
      <w:bookmarkEnd w:id="19"/>
      <w:r>
        <w:rPr>
          <w:rFonts w:ascii="Times New Roman" w:hAnsi="Times New Roman"/>
          <w:b/>
          <w:sz w:val="20"/>
          <w:bdr w:val="single" w:sz="2" w:space="1" w:color="000000"/>
        </w:rPr>
        <w:t>Magnera Corporation</w:t>
      </w:r>
      <w:r>
        <w:rPr>
          <w:rFonts w:ascii="Times New Roman" w:hAnsi="Times New Roman"/>
          <w:sz w:val="18"/>
          <w:bdr w:val="single" w:sz="2" w:space="1" w:color="000000"/>
        </w:rPr>
        <w:t xml:space="preserve"> </w:t>
      </w:r>
    </w:p>
    <w:p>
      <w:pPr>
        <w:pStyle w:val="TextBody"/>
        <w:bidi w:val="0"/>
        <w:spacing w:lineRule="atLeast" w:line="243" w:before="0" w:after="0"/>
        <w:jc w:val="center"/>
        <w:rPr>
          <w:rFonts w:ascii="Times New Roman" w:hAnsi="Times New Roman"/>
          <w:sz w:val="18"/>
          <w:bdr w:val="single" w:sz="2" w:space="1" w:color="000000"/>
        </w:rPr>
      </w:pPr>
      <w:r>
        <w:rPr>
          <w:rFonts w:ascii="Times New Roman" w:hAnsi="Times New Roman"/>
          <w:b/>
          <w:sz w:val="20"/>
          <w:bdr w:val="single" w:sz="2" w:space="1" w:color="000000"/>
        </w:rPr>
        <w:t>Notes to Consolidated and Combined Financial Statements</w:t>
      </w:r>
      <w:r>
        <w:rPr>
          <w:rFonts w:ascii="Times New Roman" w:hAnsi="Times New Roman"/>
          <w:sz w:val="18"/>
          <w:bdr w:val="single" w:sz="2" w:space="1" w:color="000000"/>
        </w:rPr>
        <w:t xml:space="preserve"> </w:t>
      </w:r>
    </w:p>
    <w:p>
      <w:pPr>
        <w:pStyle w:val="TextBody"/>
        <w:bidi w:val="0"/>
        <w:spacing w:lineRule="atLeast" w:line="243" w:before="0" w:after="0"/>
        <w:jc w:val="center"/>
        <w:rPr>
          <w:rFonts w:ascii="Times New Roman" w:hAnsi="Times New Roman"/>
          <w:sz w:val="18"/>
          <w:bdr w:val="single" w:sz="2" w:space="1" w:color="000000"/>
        </w:rPr>
      </w:pPr>
      <w:r>
        <w:rPr>
          <w:rFonts w:ascii="Times New Roman" w:hAnsi="Times New Roman"/>
          <w:sz w:val="16"/>
          <w:bdr w:val="single" w:sz="2" w:space="1" w:color="000000"/>
        </w:rPr>
        <w:t>(tables in millions of dollars, except per share data)</w:t>
      </w:r>
      <w:r>
        <w:rPr>
          <w:rFonts w:ascii="Times New Roman" w:hAnsi="Times New Roman"/>
          <w:sz w:val="18"/>
          <w:bdr w:val="single" w:sz="2" w:space="1" w:color="000000"/>
        </w:rPr>
        <w:t xml:space="preserve"> </w:t>
      </w:r>
    </w:p>
    <w:p>
      <w:pPr>
        <w:pStyle w:val="TextBody"/>
        <w:bidi w:val="0"/>
        <w:spacing w:lineRule="atLeast" w:line="270" w:before="0" w:after="0"/>
        <w:jc w:val="left"/>
        <w:rPr>
          <w:bdr w:val="single" w:sz="2" w:space="1" w:color="000000"/>
        </w:rPr>
      </w:pPr>
      <w:r>
        <w:rPr>
          <w:bdr w:val="single" w:sz="2" w:space="1" w:color="000000"/>
        </w:rPr>
        <w:t xml:space="preserve">  </w:t>
      </w:r>
    </w:p>
    <w:p>
      <w:pPr>
        <w:pStyle w:val="TextBody"/>
        <w:bidi w:val="0"/>
        <w:spacing w:lineRule="atLeast" w:line="243" w:before="0" w:after="0"/>
        <w:ind w:left="0" w:right="0" w:hanging="540"/>
        <w:jc w:val="left"/>
        <w:rPr/>
      </w:pPr>
      <w:r>
        <w:rPr/>
        <w:t xml:space="preserve">  </w:t>
      </w:r>
    </w:p>
    <w:p>
      <w:pPr>
        <w:pStyle w:val="TextBody"/>
        <w:bidi w:val="0"/>
        <w:spacing w:lineRule="atLeast" w:line="236" w:before="0" w:after="0"/>
        <w:jc w:val="left"/>
        <w:rPr>
          <w:rFonts w:ascii="Times New Roman" w:hAnsi="Times New Roman"/>
          <w:b/>
          <w:sz w:val="18"/>
          <w:bdr w:val="single" w:sz="2" w:space="1" w:color="000000"/>
        </w:rPr>
      </w:pPr>
      <w:r>
        <w:rPr>
          <w:rFonts w:ascii="Times New Roman" w:hAnsi="Times New Roman"/>
          <w:b/>
          <w:sz w:val="18"/>
          <w:bdr w:val="single" w:sz="2" w:space="1" w:color="000000"/>
        </w:rPr>
        <w:t>1. Basis of Presentation and Summary of Significant Accounting Policies</w:t>
      </w:r>
    </w:p>
    <w:p>
      <w:pPr>
        <w:pStyle w:val="TextBody"/>
        <w:bidi w:val="0"/>
        <w:spacing w:lineRule="atLeast" w:line="262"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On November 4, 2024 , Treasure, which was a wholly owned subsidiary of Berry, completed the Transaction with Glatfelter, which concurrently changed its name to Magnera. As a result, pre-Transaction Treasure shareholders received shares of Magnera representing 90% of the combined company and GLT shareholders retained 10%.  As Treasure was identified as the accounting acquirer, the prior year presentation represents standalone Treasure results with the acquisition method of accounting being applied to the assets acquired and liabilities assumed of GLT. See Note 2. Acquisition.</w:t>
      </w:r>
    </w:p>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jc w:val="left"/>
        <w:rPr>
          <w:rFonts w:ascii="Times New Roman" w:hAnsi="Times New Roman"/>
          <w:spacing w:val="0"/>
          <w:sz w:val="18"/>
          <w:bdr w:val="single" w:sz="2" w:space="1" w:color="000000"/>
        </w:rPr>
      </w:pPr>
      <w:r>
        <w:rPr>
          <w:rFonts w:ascii="Times New Roman" w:hAnsi="Times New Roman"/>
          <w:spacing w:val="0"/>
          <w:sz w:val="18"/>
          <w:bdr w:val="single" w:sz="2" w:space="1" w:color="000000"/>
        </w:rPr>
        <w:t>The Consolidated and Combined Financial Statements contain combined financial statements for the fiscal periods prior to the Closing Date of the Transaction. The Combined Financial Statements were prepared on a stand-alone basis derived from the financial statements and accounting records of Berry and are presented as if Treasure had operated on a stand-alone basis. For the Combined Financial Statements reported for the fiscal years ended September 28, 2024 and September 30, 2023 and the related notes refer to Exhibit 99.4 of the Form 8-K/A filed with the Securities and Exchange Commission (the "SEC") on January 31, 2025.</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color w:val="000000"/>
          <w:sz w:val="18"/>
          <w:bdr w:val="single" w:sz="2" w:space="1" w:color="000000"/>
        </w:rPr>
      </w:pPr>
      <w:r>
        <w:rPr>
          <w:rFonts w:ascii="Times New Roman" w:hAnsi="Times New Roman"/>
          <w:color w:val="000000"/>
          <w:sz w:val="18"/>
          <w:bdr w:val="single" w:sz="2" w:space="1" w:color="000000"/>
        </w:rPr>
        <w:t xml:space="preserve">The pre-Transaction Combined Financial Statements of Operations, Comprehensive Income (Loss), Balance Sheets, Cash Flows and Changes in Equity have been prepared on a carve-out basis, which include assumptions underlying the preparation that management believe are reasonable. However, the combined pre-Transaction financial information included herein may not necessarily reflect the Company’s results of operations, comprehensive income (loss), balance sheets, cash flows and changes in equity had the Company been an independent stand-alone company during the periods presented.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color w:val="000000"/>
          <w:sz w:val="18"/>
          <w:bdr w:val="single" w:sz="2" w:space="1" w:color="000000"/>
        </w:rPr>
      </w:pPr>
      <w:r>
        <w:rPr>
          <w:rFonts w:ascii="Times New Roman" w:hAnsi="Times New Roman"/>
          <w:color w:val="000000"/>
          <w:sz w:val="18"/>
          <w:bdr w:val="single" w:sz="2" w:space="1" w:color="000000"/>
        </w:rPr>
        <w:t>For periods prior to the Closing Date, transactions between Berry and Treasure were reflected as a component of Berry's net investment in the Consolidated and Combined Balance Sheets and as a financing activity within the accompanying Consolidated and Combined Statements of Cash Flows. Berry's net investment on the Consolidated and Combined Balance Sheets and Consolidated and Combined Statement of Equity represents the cumulative net investment by Berry in Treasure.  Concurrent with the closing of the Transaction, Berry received a cash distribution and, in turn, transferred Berry’s health, hygiene and specialties global nonwovens and films business to Treasure.  As a result, Berry's net investment in Treasure was reduced to zero with a corresponding adjustment to Additional Paid-in Capital.</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pacing w:val="0"/>
          <w:sz w:val="18"/>
          <w:bdr w:val="single" w:sz="2" w:space="1" w:color="000000"/>
        </w:rPr>
      </w:pPr>
      <w:r>
        <w:rPr>
          <w:rFonts w:ascii="Times New Roman" w:hAnsi="Times New Roman"/>
          <w:spacing w:val="0"/>
          <w:sz w:val="18"/>
          <w:bdr w:val="single" w:sz="2" w:space="1" w:color="000000"/>
        </w:rPr>
        <w:t>The accompanying Consolidated and Combined Financial Statements of Magnera Corporation have been prepared in accordance with accounting principles generally accepted in the United States (“GAAP”) pursuant to the rules and regulations of the SEC. In preparing financial statements in conformity with GAAP, we must make estimates and assumptions that affect the reported amounts and disclosures at the date of the financial statements and during the reporting period. Actual results could differ from those estimates. In the opinion of management, all adjustments (consisting of normal recurring adjustments) considered necessary for a fair presentation have been included, and all subsequent events up to the time of the filing have been evaluated.</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Revenue Recognition and Accounts Receivable</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Revenue is recognized when performance obligations are satisfied, in an amount reflecting the consideration to which the Company expects to be entitled.  We consider the promise to transfer products to be our sole performance obligation.  Generally, our revenue is recognized for standard promised goods at the time of shipment, when title and risk of loss pass to the customer.  The Company disaggregates revenue based on geography. See Note 11. Segment and Geographic Data.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The Company records current expected credit losses based on a variety of factors including historical loss experience and current customer financial condition.  The reserve as of each period end and changes to our current expected credit losses, write-off activity, and recoveries were not material for any of the periods presented.</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The Company participates in customer supply chain financing programs to collect certain receivables through third-party financial institutions. These arrangements qualify as true sales, as the receivables are transferred without recourse. As a result, the balances are removed from trade receivables on the balance sheet, and the cash proceeds are reported as operating cash flows.</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pacing w:val="0"/>
          <w:sz w:val="18"/>
          <w:bdr w:val="single" w:sz="2" w:space="1" w:color="000000"/>
        </w:rPr>
      </w:pPr>
      <w:r>
        <w:rPr>
          <w:rFonts w:ascii="Times New Roman" w:hAnsi="Times New Roman"/>
          <w:spacing w:val="0"/>
          <w:sz w:val="18"/>
          <w:bdr w:val="single" w:sz="2" w:space="1" w:color="000000"/>
        </w:rPr>
        <w:t>For the fiscal year ended September 27, 2025, our top customer represented approximately 14% of net sales and our top ten customers represented approximately 42% of net sales.</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Research and Development</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Research and development costs are expensed when incurred.  The Company incurred research and development expenditures of $20 million, $13 million, and $15 million in fiscal years 2025, 2024, and 2023, respectively, which are included in Selling, general and administrative in the Consolidated and Combined Statements of Operations.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18</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b/>
          <w:sz w:val="18"/>
          <w:bdr w:val="single" w:sz="2" w:space="1" w:color="000000"/>
        </w:rPr>
      </w:pPr>
      <w:r>
        <w:rPr>
          <w:rFonts w:ascii="Times New Roman" w:hAnsi="Times New Roman"/>
          <w:b/>
          <w:sz w:val="18"/>
          <w:bdr w:val="single" w:sz="2" w:space="1" w:color="000000"/>
        </w:rPr>
        <w:t>Share-Based Compensation</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20"/>
          <w:bdr w:val="single" w:sz="2" w:space="1" w:color="000000"/>
        </w:rPr>
      </w:pPr>
      <w:r>
        <w:rPr>
          <w:rFonts w:ascii="Times New Roman" w:hAnsi="Times New Roman"/>
          <w:sz w:val="18"/>
          <w:bdr w:val="single" w:sz="2" w:space="1" w:color="000000"/>
        </w:rPr>
        <w:t>The Company recognized total share-based compensation expense of $19 million, $7 million, and $7 million, for fiscal years 2025, 2024, and 2023, respectively.  The share-based compensation plan is more fully described in Note 10. Equity.</w:t>
      </w:r>
      <w:r>
        <w:rPr>
          <w:rFonts w:ascii="Times New Roman" w:hAnsi="Times New Roman"/>
          <w:sz w:val="20"/>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Foreign Currency</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For the non-U.S. subsidiaries that account in a functional currency other than U.S. dollars, assets and liabilities are translated into U.S. dollars using period-end exchange rates.  Sales and expenses are translated at the average exchange rates in effect during the period.  Foreign currency translation gains and losses are included as a component of Accumulated other comprehensive loss within Equity in the Consolidated and Combined Balance Sheets. Gains and losses resulting from foreign currency transactions are included in Other expense </w:t>
      </w:r>
      <w:r>
        <w:rPr>
          <w:rFonts w:ascii="Times New Roman" w:hAnsi="Times New Roman"/>
          <w:spacing w:val="0"/>
          <w:sz w:val="18"/>
          <w:bdr w:val="single" w:sz="2" w:space="1" w:color="000000"/>
        </w:rPr>
        <w:t>(income)</w:t>
      </w:r>
      <w:r>
        <w:rPr>
          <w:rFonts w:ascii="Times New Roman" w:hAnsi="Times New Roman"/>
          <w:sz w:val="18"/>
          <w:bdr w:val="single" w:sz="2" w:space="1" w:color="000000"/>
        </w:rPr>
        <w:t xml:space="preserve"> in the Consolidated and Combined Statements of Operations.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Cash and Cash Equivalents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All highly liquid investments purchased with a maturity of three months or less from the time of purchase are considered to be cash equivalents.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Inventories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Inventories are stated at the lower of cost or net realizable value and are valued using the first-in, first-out method. Management periodically reviews inventory balances, using recent and future expected sales to identify slow-moving and/or obsolete items. We evaluate our reserve for inventory obsolescence on a quarterly basis and review inventory on-hand to determine future salability. We base our determinations on the age of the inventory and the experience of our personnel. We reserve inventory that we deem to be not salable in the quarter in which we make the determination. We believe, based on past history and our policies and procedures, that our net inventory is salable. Inventory, including reserves of $25 million and $15 million as of fiscal years 2025 and 2024, respectively was: </w:t>
      </w:r>
    </w:p>
    <w:p>
      <w:pPr>
        <w:pStyle w:val="TextBody"/>
        <w:bidi w:val="0"/>
        <w:spacing w:before="0" w:after="0"/>
        <w:jc w:val="left"/>
        <w:rPr>
          <w:bdr w:val="single" w:sz="2" w:space="1" w:color="000000"/>
        </w:rPr>
      </w:pPr>
      <w:r>
        <w:rPr>
          <w:bdr w:val="single" w:sz="2" w:space="1" w:color="000000"/>
        </w:rPr>
        <w:t> </w:t>
      </w:r>
    </w:p>
    <w:tbl>
      <w:tblPr>
        <w:tblW w:w="3310" w:type="dxa"/>
        <w:jc w:val="left"/>
        <w:tblInd w:w="0" w:type="dxa"/>
        <w:tblLayout w:type="fixed"/>
        <w:tblCellMar>
          <w:top w:w="0" w:type="dxa"/>
          <w:left w:w="0" w:type="dxa"/>
          <w:bottom w:w="0" w:type="dxa"/>
          <w:right w:w="0" w:type="dxa"/>
        </w:tblCellMar>
      </w:tblPr>
      <w:tblGrid>
        <w:gridCol w:w="1505"/>
        <w:gridCol w:w="90"/>
        <w:gridCol w:w="170"/>
        <w:gridCol w:w="530"/>
        <w:gridCol w:w="90"/>
        <w:gridCol w:w="90"/>
        <w:gridCol w:w="170"/>
        <w:gridCol w:w="530"/>
        <w:gridCol w:w="135"/>
      </w:tblGrid>
      <w:tr>
        <w:trPr/>
        <w:tc>
          <w:tcPr>
            <w:tcW w:w="15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pPr>
            <w:r>
              <w:rPr/>
              <w:t>Finished goods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530" w:type="dxa"/>
            <w:tcBorders/>
            <w:vAlign w:val="center"/>
          </w:tcPr>
          <w:p>
            <w:pPr>
              <w:pStyle w:val="TableContents"/>
              <w:bidi w:val="0"/>
              <w:spacing w:before="0" w:after="283"/>
              <w:jc w:val="right"/>
              <w:rPr>
                <w:b/>
              </w:rPr>
            </w:pPr>
            <w:r>
              <w:rPr>
                <w:b/>
              </w:rPr>
              <w:t>303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156</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Raw materials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b/>
              </w:rPr>
            </w:pPr>
            <w:r>
              <w:rPr>
                <w:b/>
              </w:rPr>
              <w:t>171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103</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30" w:type="dxa"/>
            <w:tcBorders>
              <w:bottom w:val="double" w:sz="6" w:space="0" w:color="000000"/>
            </w:tcBorders>
            <w:tcMar>
              <w:bottom w:w="28" w:type="dxa"/>
            </w:tcMar>
            <w:vAlign w:val="center"/>
          </w:tcPr>
          <w:p>
            <w:pPr>
              <w:pStyle w:val="TableContents"/>
              <w:bidi w:val="0"/>
              <w:spacing w:before="0" w:after="283"/>
              <w:jc w:val="right"/>
              <w:rPr>
                <w:b/>
              </w:rPr>
            </w:pPr>
            <w:r>
              <w:rPr>
                <w:b/>
              </w:rPr>
              <w:t>474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tcMar>
              <w:bottom w:w="28" w:type="dxa"/>
            </w:tcMar>
            <w:vAlign w:val="center"/>
          </w:tcPr>
          <w:p>
            <w:pPr>
              <w:pStyle w:val="TableContents"/>
              <w:bidi w:val="0"/>
              <w:spacing w:before="0" w:after="283"/>
              <w:jc w:val="right"/>
              <w:rPr/>
            </w:pPr>
            <w:r>
              <w:rPr/>
              <w:t>259</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Property, Plant and Equipment</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Property, plant and equipment are stated at cost.  Depreciation is computed primarily by the straight-line method over the estimated useful lives of the assets ranging from 15 to 40 years for buildings and improvements, 2 to 20 years for machinery, equipment, and tooling, and over the term of the agreement for finance leases. Leasehold improvements are depreciated over the shorter of the useful life of the improvement or the lease term.  Repairs and maintenance costs are charged to expense as incurred.  Property, plant and equipment as of fiscal 2025 and 2024 was: </w:t>
      </w:r>
    </w:p>
    <w:p>
      <w:pPr>
        <w:pStyle w:val="TextBody"/>
        <w:bidi w:val="0"/>
        <w:spacing w:before="0" w:after="0"/>
        <w:jc w:val="left"/>
        <w:rPr>
          <w:bdr w:val="single" w:sz="2" w:space="1" w:color="000000"/>
        </w:rPr>
      </w:pPr>
      <w:r>
        <w:rPr>
          <w:bdr w:val="single" w:sz="2" w:space="1" w:color="000000"/>
        </w:rPr>
        <w:t> </w:t>
      </w:r>
    </w:p>
    <w:tbl>
      <w:tblPr>
        <w:tblW w:w="5915" w:type="dxa"/>
        <w:jc w:val="left"/>
        <w:tblInd w:w="0" w:type="dxa"/>
        <w:tblLayout w:type="fixed"/>
        <w:tblCellMar>
          <w:top w:w="0" w:type="dxa"/>
          <w:left w:w="0" w:type="dxa"/>
          <w:bottom w:w="0" w:type="dxa"/>
          <w:right w:w="0" w:type="dxa"/>
        </w:tblCellMar>
      </w:tblPr>
      <w:tblGrid>
        <w:gridCol w:w="3815"/>
        <w:gridCol w:w="170"/>
        <w:gridCol w:w="665"/>
        <w:gridCol w:w="185"/>
        <w:gridCol w:w="90"/>
        <w:gridCol w:w="170"/>
        <w:gridCol w:w="590"/>
        <w:gridCol w:w="230"/>
      </w:tblGrid>
      <w:tr>
        <w:trPr/>
        <w:tc>
          <w:tcPr>
            <w:tcW w:w="38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815" w:type="dxa"/>
            <w:tcBorders/>
            <w:vAlign w:val="center"/>
          </w:tcPr>
          <w:p>
            <w:pPr>
              <w:pStyle w:val="TableContents"/>
              <w:bidi w:val="0"/>
              <w:spacing w:before="0" w:after="283"/>
              <w:jc w:val="left"/>
              <w:rPr/>
            </w:pPr>
            <w:r>
              <w:rPr/>
              <w:t>Property, plant and equipment:</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15" w:type="dxa"/>
            <w:tcBorders/>
            <w:vAlign w:val="center"/>
          </w:tcPr>
          <w:p>
            <w:pPr>
              <w:pStyle w:val="TableContents"/>
              <w:bidi w:val="0"/>
              <w:spacing w:before="0" w:after="283"/>
              <w:jc w:val="left"/>
              <w:rPr/>
            </w:pPr>
            <w:r>
              <w:rPr/>
              <w:t>Land, buildings and improvements</w:t>
            </w:r>
          </w:p>
        </w:tc>
        <w:tc>
          <w:tcPr>
            <w:tcW w:w="170" w:type="dxa"/>
            <w:tcBorders/>
            <w:vAlign w:val="center"/>
          </w:tcPr>
          <w:p>
            <w:pPr>
              <w:pStyle w:val="TableContents"/>
              <w:bidi w:val="0"/>
              <w:spacing w:before="0" w:after="283"/>
              <w:jc w:val="left"/>
              <w:rPr>
                <w:b/>
              </w:rPr>
            </w:pPr>
            <w:r>
              <w:rPr>
                <w:b/>
              </w:rPr>
              <w:t>$</w:t>
            </w:r>
          </w:p>
        </w:tc>
        <w:tc>
          <w:tcPr>
            <w:tcW w:w="665" w:type="dxa"/>
            <w:tcBorders/>
            <w:vAlign w:val="center"/>
          </w:tcPr>
          <w:p>
            <w:pPr>
              <w:pStyle w:val="TableContents"/>
              <w:bidi w:val="0"/>
              <w:spacing w:before="0" w:after="283"/>
              <w:jc w:val="right"/>
              <w:rPr>
                <w:b/>
              </w:rPr>
            </w:pPr>
            <w:r>
              <w:rPr>
                <w:b/>
              </w:rPr>
              <w:t>653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376</w:t>
            </w:r>
          </w:p>
        </w:tc>
        <w:tc>
          <w:tcPr>
            <w:tcW w:w="23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Equipment and construction in progress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b/>
              </w:rPr>
            </w:pPr>
            <w:r>
              <w:rPr>
                <w:b/>
              </w:rPr>
              <w:t>1,986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1,543</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rPr>
            </w:pPr>
            <w:r>
              <w:rPr>
                <w:b/>
              </w:rPr>
              <w:t>2,639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1,919</w:t>
            </w:r>
          </w:p>
        </w:tc>
        <w:tc>
          <w:tcPr>
            <w:tcW w:w="23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Less accumulated depreciation</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b/>
              </w:rPr>
            </w:pPr>
            <w:r>
              <w:rPr>
                <w:b/>
              </w:rPr>
              <w:t>(1,163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(970</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665" w:type="dxa"/>
            <w:tcBorders>
              <w:bottom w:val="double" w:sz="6" w:space="0" w:color="000000"/>
            </w:tcBorders>
            <w:tcMar>
              <w:bottom w:w="28" w:type="dxa"/>
            </w:tcMar>
            <w:vAlign w:val="center"/>
          </w:tcPr>
          <w:p>
            <w:pPr>
              <w:pStyle w:val="TableContents"/>
              <w:bidi w:val="0"/>
              <w:spacing w:before="0" w:after="283"/>
              <w:jc w:val="right"/>
              <w:rPr>
                <w:b/>
              </w:rPr>
            </w:pPr>
            <w:r>
              <w:rPr>
                <w:b/>
              </w:rPr>
              <w:t>1,476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949</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b/>
          <w:sz w:val="20"/>
          <w:bdr w:val="single" w:sz="2" w:space="1" w:color="000000"/>
        </w:rPr>
      </w:pPr>
      <w:r>
        <w:rPr>
          <w:rFonts w:ascii="Times New Roman" w:hAnsi="Times New Roman"/>
          <w:b/>
          <w:sz w:val="20"/>
          <w:bdr w:val="single" w:sz="2" w:space="1" w:color="000000"/>
        </w:rPr>
        <w:t>Long-lived Assets</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Long-lived assets, including property, plant and equipment and definite lived intangible assets are reviewed for impairment in accordance with ASC 360, “Property, Plant and Equipment,” whenever facts and circumstances indicate that the carrying amount may not be recoverable.  Specifically, this process involves comparing an asset’s carrying value to the estimated undiscounted future cash flows the asset is expected to generate over its remaining life.  If this process were to result in the conclusion that the carrying value of a long-lived asset would not be recoverable, a write-down of the asset to fair value would be recorded through a charge to operations. No material impairments were recorded in the periods presented.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19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b/>
          <w:sz w:val="18"/>
          <w:bdr w:val="single" w:sz="2" w:space="1" w:color="000000"/>
        </w:rPr>
      </w:pPr>
      <w:r>
        <w:rPr>
          <w:rFonts w:ascii="Times New Roman" w:hAnsi="Times New Roman"/>
          <w:b/>
          <w:sz w:val="18"/>
          <w:bdr w:val="single" w:sz="2" w:space="1" w:color="000000"/>
        </w:rPr>
        <w:t>Goodwill</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changes in the carrying amount of goodwill are as follows: </w:t>
      </w:r>
    </w:p>
    <w:p>
      <w:pPr>
        <w:pStyle w:val="TextBody"/>
        <w:bidi w:val="0"/>
        <w:spacing w:before="0" w:after="0"/>
        <w:jc w:val="left"/>
        <w:rPr>
          <w:bdr w:val="single" w:sz="2" w:space="1" w:color="000000"/>
        </w:rPr>
      </w:pPr>
      <w:r>
        <w:rPr>
          <w:bdr w:val="single" w:sz="2" w:space="1" w:color="000000"/>
        </w:rPr>
        <w:t> </w:t>
      </w:r>
    </w:p>
    <w:tbl>
      <w:tblPr>
        <w:tblW w:w="8255" w:type="dxa"/>
        <w:jc w:val="left"/>
        <w:tblInd w:w="0" w:type="dxa"/>
        <w:tblLayout w:type="fixed"/>
        <w:tblCellMar>
          <w:top w:w="0" w:type="dxa"/>
          <w:left w:w="0" w:type="dxa"/>
          <w:bottom w:w="0" w:type="dxa"/>
          <w:right w:w="0" w:type="dxa"/>
        </w:tblCellMar>
      </w:tblPr>
      <w:tblGrid>
        <w:gridCol w:w="3800"/>
        <w:gridCol w:w="90"/>
        <w:gridCol w:w="170"/>
        <w:gridCol w:w="1010"/>
        <w:gridCol w:w="185"/>
        <w:gridCol w:w="90"/>
        <w:gridCol w:w="170"/>
        <w:gridCol w:w="1475"/>
        <w:gridCol w:w="185"/>
        <w:gridCol w:w="90"/>
        <w:gridCol w:w="170"/>
        <w:gridCol w:w="590"/>
        <w:gridCol w:w="230"/>
      </w:tblGrid>
      <w:tr>
        <w:trPr/>
        <w:tc>
          <w:tcPr>
            <w:tcW w:w="38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center"/>
              <w:rPr>
                <w:b/>
              </w:rPr>
            </w:pPr>
            <w:r>
              <w:rPr>
                <w:b/>
              </w:rPr>
              <w:t>Americas</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center"/>
              <w:rPr>
                <w:b/>
              </w:rPr>
            </w:pPr>
            <w:r>
              <w:rPr>
                <w:b/>
              </w:rPr>
              <w:t>Rest of World</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center"/>
              <w:rPr>
                <w:b/>
              </w:rPr>
            </w:pPr>
            <w:r>
              <w:rPr>
                <w:b/>
              </w:rPr>
              <w:t>Total</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pPr>
            <w:r>
              <w:rPr/>
              <w:t>Balance as of fiscal 2023</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tcBorders>
            <w:tcMar>
              <w:top w:w="28" w:type="dxa"/>
            </w:tcMar>
            <w:vAlign w:val="center"/>
          </w:tcPr>
          <w:p>
            <w:pPr>
              <w:pStyle w:val="TableContents"/>
              <w:bidi w:val="0"/>
              <w:spacing w:before="0" w:after="283"/>
              <w:jc w:val="left"/>
              <w:rPr>
                <w:b/>
              </w:rPr>
            </w:pPr>
            <w:r>
              <w:rPr>
                <w:b/>
              </w:rPr>
              <w:t>$</w:t>
            </w:r>
          </w:p>
        </w:tc>
        <w:tc>
          <w:tcPr>
            <w:tcW w:w="1010" w:type="dxa"/>
            <w:tcBorders>
              <w:top w:val="single" w:sz="2" w:space="0" w:color="000000"/>
            </w:tcBorders>
            <w:tcMar>
              <w:top w:w="28" w:type="dxa"/>
            </w:tcMar>
            <w:vAlign w:val="center"/>
          </w:tcPr>
          <w:p>
            <w:pPr>
              <w:pStyle w:val="TableContents"/>
              <w:bidi w:val="0"/>
              <w:spacing w:before="0" w:after="283"/>
              <w:jc w:val="right"/>
              <w:rPr/>
            </w:pPr>
            <w:r>
              <w:rPr/>
              <w:t>589</w:t>
            </w:r>
          </w:p>
        </w:tc>
        <w:tc>
          <w:tcPr>
            <w:tcW w:w="185" w:type="dxa"/>
            <w:tcBorders>
              <w:top w:val="single" w:sz="2"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tcBorders>
            <w:tcMar>
              <w:top w:w="28" w:type="dxa"/>
            </w:tcMar>
            <w:vAlign w:val="center"/>
          </w:tcPr>
          <w:p>
            <w:pPr>
              <w:pStyle w:val="TableContents"/>
              <w:bidi w:val="0"/>
              <w:spacing w:before="0" w:after="283"/>
              <w:jc w:val="left"/>
              <w:rPr/>
            </w:pPr>
            <w:r>
              <w:rPr/>
              <w:t>$</w:t>
            </w:r>
          </w:p>
        </w:tc>
        <w:tc>
          <w:tcPr>
            <w:tcW w:w="1475" w:type="dxa"/>
            <w:tcBorders>
              <w:top w:val="single" w:sz="2" w:space="0" w:color="000000"/>
            </w:tcBorders>
            <w:tcMar>
              <w:top w:w="28" w:type="dxa"/>
            </w:tcMar>
            <w:vAlign w:val="center"/>
          </w:tcPr>
          <w:p>
            <w:pPr>
              <w:pStyle w:val="TableContents"/>
              <w:bidi w:val="0"/>
              <w:spacing w:before="0" w:after="283"/>
              <w:jc w:val="right"/>
              <w:rPr/>
            </w:pPr>
            <w:r>
              <w:rPr/>
              <w:t>205</w:t>
            </w:r>
          </w:p>
        </w:tc>
        <w:tc>
          <w:tcPr>
            <w:tcW w:w="185" w:type="dxa"/>
            <w:tcBorders>
              <w:top w:val="single" w:sz="2"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tcBorders>
            <w:tcMar>
              <w:top w:w="28" w:type="dxa"/>
            </w:tcMar>
            <w:vAlign w:val="center"/>
          </w:tcPr>
          <w:p>
            <w:pPr>
              <w:pStyle w:val="TableContents"/>
              <w:bidi w:val="0"/>
              <w:spacing w:before="0" w:after="283"/>
              <w:jc w:val="left"/>
              <w:rPr/>
            </w:pPr>
            <w:r>
              <w:rPr/>
              <w:t>$</w:t>
            </w:r>
          </w:p>
        </w:tc>
        <w:tc>
          <w:tcPr>
            <w:tcW w:w="590" w:type="dxa"/>
            <w:tcBorders>
              <w:top w:val="single" w:sz="2" w:space="0" w:color="000000"/>
            </w:tcBorders>
            <w:tcMar>
              <w:top w:w="28" w:type="dxa"/>
            </w:tcMar>
            <w:vAlign w:val="center"/>
          </w:tcPr>
          <w:p>
            <w:pPr>
              <w:pStyle w:val="TableContents"/>
              <w:bidi w:val="0"/>
              <w:spacing w:before="0" w:after="283"/>
              <w:jc w:val="right"/>
              <w:rPr/>
            </w:pPr>
            <w:r>
              <w:rPr/>
              <w:t>794</w:t>
            </w:r>
          </w:p>
        </w:tc>
        <w:tc>
          <w:tcPr>
            <w:tcW w:w="230" w:type="dxa"/>
            <w:tcBorders>
              <w:top w:val="single" w:sz="2" w:space="0" w:color="000000"/>
            </w:tcBorders>
            <w:tcMar>
              <w:top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Goodwill impairment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(171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(171</w:t>
            </w:r>
          </w:p>
        </w:tc>
        <w:tc>
          <w:tcPr>
            <w:tcW w:w="23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2" w:space="0" w:color="000000"/>
            </w:tcBorders>
            <w:tcMar>
              <w:bottom w:w="28" w:type="dxa"/>
            </w:tcMar>
            <w:vAlign w:val="center"/>
          </w:tcPr>
          <w:p>
            <w:pPr>
              <w:pStyle w:val="TableContents"/>
              <w:bidi w:val="0"/>
              <w:spacing w:before="0" w:after="283"/>
              <w:jc w:val="right"/>
              <w:rPr/>
            </w:pPr>
            <w:r>
              <w:rPr/>
              <w:t>(4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75" w:type="dxa"/>
            <w:tcBorders>
              <w:bottom w:val="single" w:sz="2" w:space="0" w:color="000000"/>
            </w:tcBorders>
            <w:tcMar>
              <w:bottom w:w="28" w:type="dxa"/>
            </w:tcMar>
            <w:vAlign w:val="center"/>
          </w:tcPr>
          <w:p>
            <w:pPr>
              <w:pStyle w:val="TableContents"/>
              <w:bidi w:val="0"/>
              <w:spacing w:before="0" w:after="283"/>
              <w:jc w:val="right"/>
              <w:rPr/>
            </w:pPr>
            <w:r>
              <w:rPr/>
              <w:t>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Balance as of fiscal 2024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pPr>
            <w:r>
              <w:rPr/>
              <w:t>585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right"/>
              <w:rPr/>
            </w:pPr>
            <w:r>
              <w:rPr/>
              <w:t>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624</w:t>
            </w:r>
          </w:p>
        </w:tc>
        <w:tc>
          <w:tcPr>
            <w:tcW w:w="23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right"/>
              <w:rPr>
                <w:b/>
              </w:rPr>
            </w:pPr>
            <w:r>
              <w:rPr>
                <w:b/>
              </w:rPr>
              <w:t xml:space="preserve">1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right"/>
              <w:rPr>
                <w:b/>
              </w:rPr>
            </w:pPr>
            <w:r>
              <w:rPr>
                <w:b/>
              </w:rPr>
              <w:t xml:space="preserve">2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right"/>
              <w:rPr>
                <w:b/>
              </w:rPr>
            </w:pPr>
            <w:r>
              <w:rPr>
                <w:b/>
              </w:rPr>
              <w:t xml:space="preserve">3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pPr>
            <w:r>
              <w:rPr/>
              <w:t>Acquisitions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0" w:type="dxa"/>
            <w:tcBorders>
              <w:bottom w:val="single" w:sz="2" w:space="0" w:color="000000"/>
            </w:tcBorders>
            <w:tcMar>
              <w:bottom w:w="28" w:type="dxa"/>
            </w:tcMar>
            <w:vAlign w:val="center"/>
          </w:tcPr>
          <w:p>
            <w:pPr>
              <w:pStyle w:val="TableContents"/>
              <w:bidi w:val="0"/>
              <w:spacing w:before="0" w:after="283"/>
              <w:jc w:val="right"/>
              <w:rPr>
                <w:b/>
              </w:rPr>
            </w:pPr>
            <w:r>
              <w:rPr>
                <w:b/>
              </w:rPr>
              <w:t xml:space="preserve">36 </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 xml:space="preserve">36 </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pPr>
            <w:r>
              <w:rPr/>
              <w:t>Balance as of fiscal 2025</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6" w:space="0" w:color="000000"/>
            </w:tcBorders>
            <w:tcMar>
              <w:bottom w:w="28" w:type="dxa"/>
            </w:tcMar>
            <w:vAlign w:val="center"/>
          </w:tcPr>
          <w:p>
            <w:pPr>
              <w:pStyle w:val="TableContents"/>
              <w:bidi w:val="0"/>
              <w:spacing w:before="0" w:after="283"/>
              <w:jc w:val="right"/>
              <w:rPr>
                <w:b/>
              </w:rPr>
            </w:pPr>
            <w:r>
              <w:rPr>
                <w:b/>
              </w:rPr>
              <w:t>622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475" w:type="dxa"/>
            <w:tcBorders>
              <w:bottom w:val="double" w:sz="6" w:space="0" w:color="000000"/>
            </w:tcBorders>
            <w:tcMar>
              <w:bottom w:w="28" w:type="dxa"/>
            </w:tcMar>
            <w:vAlign w:val="center"/>
          </w:tcPr>
          <w:p>
            <w:pPr>
              <w:pStyle w:val="TableContents"/>
              <w:bidi w:val="0"/>
              <w:spacing w:before="0" w:after="283"/>
              <w:jc w:val="right"/>
              <w:rPr>
                <w:b/>
              </w:rPr>
            </w:pPr>
            <w:r>
              <w:rPr>
                <w:b/>
              </w:rPr>
              <w:t>41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663</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In fiscal 2025, in accordance with our accounting policy, the Company completed a quantitative test to evaluate impairment of goodwill in order to determine if the carrying value of any reporting unit exceeded its fair value.  The Company reviews Goodwill for impairment as of the first day of the fourth fiscal quarter each year and more frequently if impairment indicators exist. The fair value for each reporting unit is estimated based on a combination of a comparative company market approach and a discounted cash flow analysis (income approach). Our forecasts included a terminal growth rate of 2.5%, modest margin expansion attributed to capital investments and normalization of energy inflation, and discount rates ranging from 11% to 13% being applied to the forecasted cash flows. Using the quantitative approach, the Company makes various estimates and assumptions in determining the estimated fair value of each reporting unit using a combination of discounted cash flow models and valuations based on earnings multiples for the Company’s public peer group. Discounted cash flow models are reliant on various assumptions, including projected business results, growth factors such as revenue and EBITDA margin, and weighted-average cost of capital. Management judgment is involved in estimating these variables, and they include uncertainties since they are forecasting future events. Changes in those assumptions or estimates with respect to a reporting unit or its prospects, which may result from a change in market conditions, market trends, interest rates or other factors outside of our control, or significant underperformance relative to future operating results could result in an impairment charge in the future or may require a more frequent assessment.  As a result of our annual impairment evaluations the Company concluded that no impairment existed in fiscal 2025.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b/>
          <w:sz w:val="18"/>
          <w:bdr w:val="single" w:sz="2" w:space="1" w:color="000000"/>
        </w:rPr>
      </w:pPr>
      <w:r>
        <w:rPr>
          <w:rFonts w:ascii="Times New Roman" w:hAnsi="Times New Roman"/>
          <w:b/>
          <w:sz w:val="18"/>
          <w:bdr w:val="single" w:sz="2" w:space="1" w:color="000000"/>
        </w:rPr>
        <w:t>Intangible Assets</w:t>
      </w:r>
    </w:p>
    <w:p>
      <w:pPr>
        <w:pStyle w:val="TextBody"/>
        <w:bidi w:val="0"/>
        <w:spacing w:before="0" w:after="0"/>
        <w:jc w:val="left"/>
        <w:rPr>
          <w:bdr w:val="single" w:sz="2" w:space="1" w:color="000000"/>
        </w:rPr>
      </w:pPr>
      <w:r>
        <w:rPr>
          <w:bdr w:val="single" w:sz="2" w:space="1" w:color="000000"/>
        </w:rPr>
        <w:t xml:space="preserve">  </w:t>
      </w:r>
    </w:p>
    <w:tbl>
      <w:tblPr>
        <w:tblW w:w="961"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53"/>
        <w:gridCol w:w="53"/>
        <w:gridCol w:w="53"/>
        <w:gridCol w:w="53"/>
        <w:gridCol w:w="53"/>
        <w:gridCol w:w="53"/>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220"/>
        <w:gridCol w:w="90"/>
        <w:gridCol w:w="170"/>
        <w:gridCol w:w="1415"/>
        <w:gridCol w:w="90"/>
        <w:gridCol w:w="90"/>
        <w:gridCol w:w="170"/>
        <w:gridCol w:w="1325"/>
        <w:gridCol w:w="90"/>
        <w:gridCol w:w="90"/>
        <w:gridCol w:w="170"/>
        <w:gridCol w:w="1175"/>
        <w:gridCol w:w="185"/>
        <w:gridCol w:w="90"/>
        <w:gridCol w:w="170"/>
        <w:gridCol w:w="1400"/>
        <w:gridCol w:w="185"/>
        <w:gridCol w:w="90"/>
        <w:gridCol w:w="170"/>
        <w:gridCol w:w="590"/>
        <w:gridCol w:w="230"/>
      </w:tblGrid>
      <w:tr>
        <w:trPr/>
        <w:tc>
          <w:tcPr>
            <w:tcW w:w="22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center"/>
              <w:rPr>
                <w:b/>
              </w:rPr>
            </w:pPr>
            <w:r>
              <w:rPr>
                <w:b/>
              </w:rPr>
              <w:t>Customer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b/>
              </w:rPr>
            </w:pPr>
            <w:r>
              <w:rPr>
                <w:b/>
              </w:rPr>
              <w:t>Other</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b/>
              </w:rPr>
            </w:pPr>
            <w:r>
              <w:rPr>
                <w:b/>
              </w:rPr>
              <w:t>Accumulated</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59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22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415" w:type="dxa"/>
            <w:tcBorders>
              <w:bottom w:val="single" w:sz="2" w:space="0" w:color="000000"/>
            </w:tcBorders>
            <w:tcMar>
              <w:bottom w:w="28" w:type="dxa"/>
            </w:tcMar>
            <w:vAlign w:val="center"/>
          </w:tcPr>
          <w:p>
            <w:pPr>
              <w:pStyle w:val="TableContents"/>
              <w:bidi w:val="0"/>
              <w:spacing w:before="0" w:after="283"/>
              <w:jc w:val="center"/>
              <w:rPr>
                <w:b/>
              </w:rPr>
            </w:pPr>
            <w:r>
              <w:rPr>
                <w:b/>
              </w:rPr>
              <w:t>Relationships</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325" w:type="dxa"/>
            <w:tcBorders>
              <w:bottom w:val="single" w:sz="2" w:space="0" w:color="000000"/>
            </w:tcBorders>
            <w:tcMar>
              <w:bottom w:w="28" w:type="dxa"/>
            </w:tcMar>
            <w:vAlign w:val="center"/>
          </w:tcPr>
          <w:p>
            <w:pPr>
              <w:pStyle w:val="TableContents"/>
              <w:bidi w:val="0"/>
              <w:spacing w:before="0" w:after="283"/>
              <w:jc w:val="center"/>
              <w:rPr>
                <w:b/>
              </w:rPr>
            </w:pPr>
            <w:r>
              <w:rPr>
                <w:b/>
              </w:rPr>
              <w:t>Trademarks</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2" w:space="0" w:color="000000"/>
            </w:tcBorders>
            <w:tcMar>
              <w:bottom w:w="28" w:type="dxa"/>
            </w:tcMar>
            <w:vAlign w:val="center"/>
          </w:tcPr>
          <w:p>
            <w:pPr>
              <w:pStyle w:val="TableContents"/>
              <w:bidi w:val="0"/>
              <w:spacing w:before="0" w:after="283"/>
              <w:jc w:val="center"/>
              <w:rPr>
                <w:b/>
              </w:rPr>
            </w:pPr>
            <w:r>
              <w:rPr>
                <w:b/>
              </w:rPr>
              <w:t>Intangibles</w:t>
            </w:r>
          </w:p>
        </w:tc>
        <w:tc>
          <w:tcPr>
            <w:tcW w:w="185"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400" w:type="dxa"/>
            <w:tcBorders>
              <w:bottom w:val="single" w:sz="2" w:space="0" w:color="000000"/>
            </w:tcBorders>
            <w:tcMar>
              <w:bottom w:w="28" w:type="dxa"/>
            </w:tcMar>
            <w:vAlign w:val="center"/>
          </w:tcPr>
          <w:p>
            <w:pPr>
              <w:pStyle w:val="TableContents"/>
              <w:bidi w:val="0"/>
              <w:spacing w:before="0" w:after="283"/>
              <w:jc w:val="center"/>
              <w:rPr>
                <w:b/>
              </w:rPr>
            </w:pPr>
            <w:r>
              <w:rPr>
                <w:b/>
              </w:rPr>
              <w:t>Amortization</w:t>
            </w:r>
          </w:p>
        </w:tc>
        <w:tc>
          <w:tcPr>
            <w:tcW w:w="185"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230"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2220" w:type="dxa"/>
            <w:tcBorders/>
            <w:vAlign w:val="center"/>
          </w:tcPr>
          <w:p>
            <w:pPr>
              <w:pStyle w:val="TableContents"/>
              <w:bidi w:val="0"/>
              <w:spacing w:before="0" w:after="283"/>
              <w:jc w:val="left"/>
              <w:rPr/>
            </w:pPr>
            <w:r>
              <w:rPr/>
              <w:t>Balance as of fiscal 2023</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610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(449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275</w:t>
            </w:r>
          </w:p>
        </w:tc>
        <w:tc>
          <w:tcPr>
            <w:tcW w:w="230" w:type="dxa"/>
            <w:tcBorders/>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Amortization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(48</w:t>
            </w:r>
          </w:p>
        </w:tc>
        <w:tc>
          <w:tcPr>
            <w:tcW w:w="230" w:type="dxa"/>
            <w:tcBorders/>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Impairment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right"/>
              <w:rPr/>
            </w:pPr>
            <w:r>
              <w:rPr/>
              <w:t>(1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Balance as of fiscal 2024</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1415" w:type="dxa"/>
            <w:tcBorders>
              <w:bottom w:val="single" w:sz="2" w:space="0" w:color="000000"/>
            </w:tcBorders>
            <w:tcMar>
              <w:bottom w:w="28" w:type="dxa"/>
            </w:tcMar>
            <w:vAlign w:val="center"/>
          </w:tcPr>
          <w:p>
            <w:pPr>
              <w:pStyle w:val="TableContents"/>
              <w:bidi w:val="0"/>
              <w:spacing w:before="0" w:after="283"/>
              <w:jc w:val="right"/>
              <w:rPr/>
            </w:pPr>
            <w:r>
              <w:rPr/>
              <w:t>610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1325" w:type="dxa"/>
            <w:tcBorders>
              <w:bottom w:val="single" w:sz="2" w:space="0" w:color="000000"/>
            </w:tcBorders>
            <w:tcMar>
              <w:bottom w:w="28" w:type="dxa"/>
            </w:tcMar>
            <w:vAlign w:val="center"/>
          </w:tcPr>
          <w:p>
            <w:pPr>
              <w:pStyle w:val="TableContents"/>
              <w:bidi w:val="0"/>
              <w:spacing w:before="0" w:after="283"/>
              <w:jc w:val="right"/>
              <w:rPr/>
            </w:pPr>
            <w:r>
              <w:rPr/>
              <w:t>30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1175" w:type="dxa"/>
            <w:tcBorders>
              <w:bottom w:val="single" w:sz="2" w:space="0" w:color="000000"/>
            </w:tcBorders>
            <w:tcMar>
              <w:bottom w:w="28" w:type="dxa"/>
            </w:tcMar>
            <w:vAlign w:val="center"/>
          </w:tcPr>
          <w:p>
            <w:pPr>
              <w:pStyle w:val="TableContents"/>
              <w:bidi w:val="0"/>
              <w:spacing w:before="0" w:after="283"/>
              <w:jc w:val="right"/>
              <w:rPr/>
            </w:pPr>
            <w:r>
              <w:rPr/>
              <w:t>83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1400" w:type="dxa"/>
            <w:tcBorders>
              <w:bottom w:val="single" w:sz="2" w:space="0" w:color="000000"/>
            </w:tcBorders>
            <w:tcMar>
              <w:bottom w:w="28" w:type="dxa"/>
            </w:tcMar>
            <w:vAlign w:val="center"/>
          </w:tcPr>
          <w:p>
            <w:pPr>
              <w:pStyle w:val="TableContents"/>
              <w:bidi w:val="0"/>
              <w:spacing w:before="0" w:after="283"/>
              <w:jc w:val="right"/>
              <w:rPr/>
            </w:pPr>
            <w:r>
              <w:rPr/>
              <w:t>(497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226</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b/>
              </w:rPr>
            </w:pPr>
            <w:r>
              <w:rPr>
                <w:b/>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b/>
              </w:rPr>
            </w:pPr>
            <w:r>
              <w:rPr>
                <w:b/>
              </w:rPr>
              <w:t>(3</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Amortization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b/>
              </w:rPr>
            </w:pPr>
            <w:r>
              <w:rPr>
                <w:b/>
              </w:rPr>
              <w:t>(50</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(50</w:t>
            </w:r>
          </w:p>
        </w:tc>
        <w:tc>
          <w:tcPr>
            <w:tcW w:w="230" w:type="dxa"/>
            <w:tcBorders/>
            <w:vAlign w:val="center"/>
          </w:tcPr>
          <w:p>
            <w:pPr>
              <w:pStyle w:val="TableContents"/>
              <w:bidi w:val="0"/>
              <w:spacing w:before="0" w:after="283"/>
              <w:jc w:val="left"/>
              <w:rPr>
                <w:b/>
              </w:rPr>
            </w:pPr>
            <w:r>
              <w:rPr>
                <w:b/>
              </w:rPr>
              <w:t>) </w:t>
            </w:r>
          </w:p>
        </w:tc>
      </w:tr>
      <w:tr>
        <w:trPr/>
        <w:tc>
          <w:tcPr>
            <w:tcW w:w="2220" w:type="dxa"/>
            <w:tcBorders/>
            <w:vAlign w:val="center"/>
          </w:tcPr>
          <w:p>
            <w:pPr>
              <w:pStyle w:val="TableContents"/>
              <w:bidi w:val="0"/>
              <w:spacing w:before="0" w:after="283"/>
              <w:jc w:val="left"/>
              <w:rPr/>
            </w:pPr>
            <w:r>
              <w:rPr/>
              <w:t>Acquisition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15" w:type="dxa"/>
            <w:tcBorders>
              <w:bottom w:val="single" w:sz="2" w:space="0" w:color="000000"/>
            </w:tcBorders>
            <w:tcMar>
              <w:bottom w:w="28" w:type="dxa"/>
            </w:tcMar>
            <w:vAlign w:val="center"/>
          </w:tcPr>
          <w:p>
            <w:pPr>
              <w:pStyle w:val="TableContents"/>
              <w:bidi w:val="0"/>
              <w:spacing w:before="0" w:after="283"/>
              <w:jc w:val="right"/>
              <w:rPr>
                <w:b/>
              </w:rPr>
            </w:pPr>
            <w:r>
              <w:rPr>
                <w:b/>
              </w:rPr>
              <w:t>49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2" w:space="0" w:color="000000"/>
            </w:tcBorders>
            <w:tcMar>
              <w:bottom w:w="28" w:type="dxa"/>
            </w:tcMar>
            <w:vAlign w:val="center"/>
          </w:tcPr>
          <w:p>
            <w:pPr>
              <w:pStyle w:val="TableContents"/>
              <w:bidi w:val="0"/>
              <w:spacing w:before="0" w:after="283"/>
              <w:jc w:val="right"/>
              <w:rPr>
                <w:b/>
              </w:rPr>
            </w:pPr>
            <w:r>
              <w:rPr>
                <w:b/>
              </w:rPr>
              <w:t>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51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Balance as of fiscal 2025</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tcMar>
              <w:bottom w:w="28" w:type="dxa"/>
            </w:tcMar>
            <w:vAlign w:val="center"/>
          </w:tcPr>
          <w:p>
            <w:pPr>
              <w:pStyle w:val="TableContents"/>
              <w:bidi w:val="0"/>
              <w:spacing w:before="0" w:after="283"/>
              <w:jc w:val="right"/>
              <w:rPr>
                <w:b/>
              </w:rPr>
            </w:pPr>
            <w:r>
              <w:rPr>
                <w:b/>
              </w:rPr>
              <w:t>662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325" w:type="dxa"/>
            <w:tcBorders>
              <w:bottom w:val="double" w:sz="6" w:space="0" w:color="000000"/>
            </w:tcBorders>
            <w:tcMar>
              <w:bottom w:w="28" w:type="dxa"/>
            </w:tcMar>
            <w:vAlign w:val="center"/>
          </w:tcPr>
          <w:p>
            <w:pPr>
              <w:pStyle w:val="TableContents"/>
              <w:bidi w:val="0"/>
              <w:spacing w:before="0" w:after="283"/>
              <w:jc w:val="right"/>
              <w:rPr>
                <w:b/>
              </w:rPr>
            </w:pPr>
            <w:r>
              <w:rPr>
                <w:b/>
              </w:rPr>
              <w:t>32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tcMar>
              <w:bottom w:w="28" w:type="dxa"/>
            </w:tcMar>
            <w:vAlign w:val="center"/>
          </w:tcPr>
          <w:p>
            <w:pPr>
              <w:pStyle w:val="TableContents"/>
              <w:bidi w:val="0"/>
              <w:spacing w:before="0" w:after="283"/>
              <w:jc w:val="right"/>
              <w:rPr>
                <w:b/>
              </w:rPr>
            </w:pPr>
            <w:r>
              <w:rPr>
                <w:b/>
              </w:rPr>
              <w:t>83</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400" w:type="dxa"/>
            <w:tcBorders>
              <w:bottom w:val="double" w:sz="6" w:space="0" w:color="000000"/>
            </w:tcBorders>
            <w:tcMar>
              <w:bottom w:w="28" w:type="dxa"/>
            </w:tcMar>
            <w:vAlign w:val="center"/>
          </w:tcPr>
          <w:p>
            <w:pPr>
              <w:pStyle w:val="TableContents"/>
              <w:bidi w:val="0"/>
              <w:spacing w:before="0" w:after="283"/>
              <w:jc w:val="right"/>
              <w:rPr>
                <w:b/>
              </w:rPr>
            </w:pPr>
            <w:r>
              <w:rPr>
                <w:b/>
              </w:rPr>
              <w:t>(550</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227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360"/>
        <w:jc w:val="left"/>
        <w:rPr/>
      </w:pPr>
      <w:r>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Customer relationships are being amortized using an accelerated amortization method, which corresponds with the customer attrition rates used in the initial valuation of the intangibles over the estimated life of the relationships that range from 10 to 15 years. The Company has trademarks that total $26 million that are indefinite lived and we test annually for impairment on the first day of the fourth quarter. Definite lived trademarks are being amortized using the straight-line method over the estimated life of the assets, which are not more than 15 years.  Other intangibles, which include technology and licenses, are being amortized using the straight-line method over the estimated life of the assets that range from 8 to 20 years. We completed the annual impairment test of our indefinite lived trademarks utilizing the qualitative method in fiscal years 2025, 2024 and 2023 and noted no material impairment.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Future amortization expense for definite lived intangibles as of fiscal 2025 for the next five fiscal years is $45 million, $43 million, $33 million, $27 million, and $26 million each year for fiscal years ending 2026, 2027, 2028, 2029, and 2030, respectively.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Leases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Company leases certain manufacturing facilities, warehouses, office space, manufacturing equipment, office equipment, and automobiles. We recognize right-of-use assets and lease liabilities for leases with original lease terms greater than one year based on the present value of lease payments over the lease term using our incremental borrowing rate on a collateralized basis. Short-term leases, with original lease terms of less than one year, are not recognized on the Consolidated and Combined Balance Sheet. We are party to certain leases, namely for manufacturing facilities, which offer renewal options to extend the original lease term. Renewal options are included in the right-of-use asset and lease liability based on our assessment of the probability that the options will be exercised. See Note 5. Commitments, Leases and Contingencies.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20</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color w:val="000000"/>
          <w:sz w:val="18"/>
          <w:bdr w:val="single" w:sz="2" w:space="1" w:color="000000"/>
        </w:rPr>
      </w:pPr>
      <w:r>
        <w:rPr>
          <w:rFonts w:ascii="Times New Roman" w:hAnsi="Times New Roman"/>
          <w:color w:val="000000"/>
          <w:sz w:val="18"/>
          <w:bdr w:val="single" w:sz="2" w:space="1" w:color="000000"/>
        </w:rPr>
        <w:t>At September 27, 2025, annual lease commitments were as follows:</w:t>
      </w:r>
    </w:p>
    <w:p>
      <w:pPr>
        <w:pStyle w:val="TextBody"/>
        <w:bidi w:val="0"/>
        <w:spacing w:before="0" w:after="0"/>
        <w:jc w:val="left"/>
        <w:rPr>
          <w:bdr w:val="single" w:sz="2" w:space="1" w:color="000000"/>
        </w:rPr>
      </w:pPr>
      <w:r>
        <w:rPr>
          <w:bdr w:val="single" w:sz="2" w:space="1" w:color="000000"/>
        </w:rPr>
        <w:t> </w:t>
      </w:r>
    </w:p>
    <w:tbl>
      <w:tblPr>
        <w:tblW w:w="5480" w:type="dxa"/>
        <w:jc w:val="left"/>
        <w:tblInd w:w="0" w:type="dxa"/>
        <w:tblLayout w:type="fixed"/>
        <w:tblCellMar>
          <w:top w:w="0" w:type="dxa"/>
          <w:left w:w="0" w:type="dxa"/>
          <w:bottom w:w="0" w:type="dxa"/>
          <w:right w:w="0" w:type="dxa"/>
        </w:tblCellMar>
      </w:tblPr>
      <w:tblGrid>
        <w:gridCol w:w="3170"/>
        <w:gridCol w:w="90"/>
        <w:gridCol w:w="170"/>
        <w:gridCol w:w="1820"/>
        <w:gridCol w:w="230"/>
      </w:tblGrid>
      <w:tr>
        <w:trPr/>
        <w:tc>
          <w:tcPr>
            <w:tcW w:w="31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0" w:type="dxa"/>
            <w:tcBorders>
              <w:bottom w:val="single" w:sz="2" w:space="0" w:color="000000"/>
            </w:tcBorders>
            <w:tcMar>
              <w:bottom w:w="28" w:type="dxa"/>
            </w:tcMar>
            <w:vAlign w:val="center"/>
          </w:tcPr>
          <w:p>
            <w:pPr>
              <w:pStyle w:val="TableContents"/>
              <w:bidi w:val="0"/>
              <w:spacing w:before="0" w:after="283"/>
              <w:jc w:val="center"/>
              <w:rPr>
                <w:b/>
              </w:rPr>
            </w:pPr>
            <w:r>
              <w:rPr>
                <w:b/>
              </w:rPr>
              <w:t>Operating Leases</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283"/>
              <w:jc w:val="left"/>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820" w:type="dxa"/>
            <w:tcBorders/>
            <w:vAlign w:val="center"/>
          </w:tcPr>
          <w:p>
            <w:pPr>
              <w:pStyle w:val="TableContents"/>
              <w:bidi w:val="0"/>
              <w:spacing w:before="0" w:after="283"/>
              <w:jc w:val="right"/>
              <w:rPr>
                <w:b/>
              </w:rPr>
            </w:pPr>
            <w:r>
              <w:rPr>
                <w:b/>
              </w:rPr>
              <w:t>18</w:t>
            </w:r>
          </w:p>
        </w:tc>
        <w:tc>
          <w:tcPr>
            <w:tcW w:w="23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2027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b/>
              </w:rPr>
            </w:pPr>
            <w:r>
              <w:rPr>
                <w:b/>
              </w:rPr>
              <w:t>14</w:t>
            </w:r>
          </w:p>
        </w:tc>
        <w:tc>
          <w:tcPr>
            <w:tcW w:w="23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2028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b/>
              </w:rPr>
            </w:pPr>
            <w:r>
              <w:rPr>
                <w:b/>
              </w:rPr>
              <w:t>12</w:t>
            </w:r>
          </w:p>
        </w:tc>
        <w:tc>
          <w:tcPr>
            <w:tcW w:w="23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2029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b/>
              </w:rPr>
            </w:pPr>
            <w:r>
              <w:rPr>
                <w:b/>
              </w:rPr>
              <w:t>9</w:t>
            </w:r>
          </w:p>
        </w:tc>
        <w:tc>
          <w:tcPr>
            <w:tcW w:w="23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2030</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b/>
              </w:rPr>
            </w:pPr>
            <w:r>
              <w:rPr>
                <w:b/>
              </w:rPr>
              <w:t>6</w:t>
            </w:r>
          </w:p>
        </w:tc>
        <w:tc>
          <w:tcPr>
            <w:tcW w:w="23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Thereafter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b/>
              </w:rPr>
            </w:pPr>
            <w:r>
              <w:rPr>
                <w:b/>
              </w:rPr>
              <w:t>12</w:t>
            </w:r>
          </w:p>
        </w:tc>
        <w:tc>
          <w:tcPr>
            <w:tcW w:w="23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b/>
              </w:rPr>
            </w:pPr>
            <w:r>
              <w:rPr>
                <w:b/>
              </w:rPr>
              <w:t>Total lease payments</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tcBorders>
            <w:tcMar>
              <w:top w:w="28" w:type="dxa"/>
            </w:tcMar>
            <w:vAlign w:val="center"/>
          </w:tcPr>
          <w:p>
            <w:pPr>
              <w:pStyle w:val="TableContents"/>
              <w:bidi w:val="0"/>
              <w:spacing w:before="0" w:after="283"/>
              <w:jc w:val="left"/>
              <w:rPr/>
            </w:pPr>
            <w:r>
              <w:rPr/>
              <w:t> </w:t>
            </w:r>
          </w:p>
        </w:tc>
        <w:tc>
          <w:tcPr>
            <w:tcW w:w="1820" w:type="dxa"/>
            <w:tcBorders>
              <w:top w:val="single" w:sz="2" w:space="0" w:color="000000"/>
            </w:tcBorders>
            <w:tcMar>
              <w:top w:w="28" w:type="dxa"/>
            </w:tcMar>
            <w:vAlign w:val="center"/>
          </w:tcPr>
          <w:p>
            <w:pPr>
              <w:pStyle w:val="TableContents"/>
              <w:bidi w:val="0"/>
              <w:spacing w:before="0" w:after="283"/>
              <w:jc w:val="right"/>
              <w:rPr>
                <w:b/>
              </w:rPr>
            </w:pPr>
            <w:r>
              <w:rPr>
                <w:b/>
              </w:rPr>
              <w:t>71</w:t>
            </w:r>
          </w:p>
        </w:tc>
        <w:tc>
          <w:tcPr>
            <w:tcW w:w="230" w:type="dxa"/>
            <w:tcBorders>
              <w:top w:val="single" w:sz="2" w:space="0" w:color="000000"/>
            </w:tcBorders>
            <w:tcMar>
              <w:top w:w="28"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Less: Interest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20" w:type="dxa"/>
            <w:tcBorders>
              <w:bottom w:val="single" w:sz="2" w:space="0" w:color="000000"/>
            </w:tcBorders>
            <w:tcMar>
              <w:bottom w:w="28" w:type="dxa"/>
            </w:tcMar>
            <w:vAlign w:val="center"/>
          </w:tcPr>
          <w:p>
            <w:pPr>
              <w:pStyle w:val="TableContents"/>
              <w:bidi w:val="0"/>
              <w:spacing w:before="0" w:after="283"/>
              <w:jc w:val="right"/>
              <w:rPr>
                <w:b/>
              </w:rPr>
            </w:pPr>
            <w:r>
              <w:rPr>
                <w:b/>
              </w:rPr>
              <w:t>(8</w:t>
            </w:r>
          </w:p>
        </w:tc>
        <w:tc>
          <w:tcPr>
            <w:tcW w:w="230" w:type="dxa"/>
            <w:tcBorders>
              <w:bottom w:val="single" w:sz="2" w:space="0" w:color="000000"/>
            </w:tcBorders>
            <w:tcMar>
              <w:bottom w:w="28" w:type="dxa"/>
            </w:tcMar>
            <w:vAlign w:val="center"/>
          </w:tcPr>
          <w:p>
            <w:pPr>
              <w:pStyle w:val="TableContents"/>
              <w:bidi w:val="0"/>
              <w:spacing w:before="0" w:after="283"/>
              <w:jc w:val="left"/>
              <w:rPr>
                <w:b/>
              </w:rPr>
            </w:pPr>
            <w:r>
              <w:rPr>
                <w:b/>
              </w:rPr>
              <w:t>) </w:t>
            </w:r>
          </w:p>
        </w:tc>
      </w:tr>
      <w:tr>
        <w:trPr/>
        <w:tc>
          <w:tcPr>
            <w:tcW w:w="3170" w:type="dxa"/>
            <w:tcBorders/>
            <w:vAlign w:val="center"/>
          </w:tcPr>
          <w:p>
            <w:pPr>
              <w:pStyle w:val="TableContents"/>
              <w:bidi w:val="0"/>
              <w:spacing w:before="0" w:after="283"/>
              <w:jc w:val="left"/>
              <w:rPr>
                <w:b/>
              </w:rPr>
            </w:pPr>
            <w:r>
              <w:rPr>
                <w:b/>
              </w:rPr>
              <w:t>Present value of lease liabilities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820" w:type="dxa"/>
            <w:tcBorders>
              <w:bottom w:val="double" w:sz="6" w:space="0" w:color="000000"/>
            </w:tcBorders>
            <w:tcMar>
              <w:bottom w:w="28" w:type="dxa"/>
            </w:tcMar>
            <w:vAlign w:val="center"/>
          </w:tcPr>
          <w:p>
            <w:pPr>
              <w:pStyle w:val="TableContents"/>
              <w:bidi w:val="0"/>
              <w:spacing w:before="0" w:after="283"/>
              <w:jc w:val="right"/>
              <w:rPr>
                <w:b/>
              </w:rPr>
            </w:pPr>
            <w:r>
              <w:rPr>
                <w:b/>
              </w:rPr>
              <w:t>63</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b/>
          <w:sz w:val="18"/>
          <w:bdr w:val="single" w:sz="2" w:space="1" w:color="000000"/>
        </w:rPr>
      </w:pPr>
      <w:r>
        <w:rPr>
          <w:rFonts w:ascii="Times New Roman" w:hAnsi="Times New Roman"/>
          <w:b/>
          <w:sz w:val="18"/>
          <w:bdr w:val="single" w:sz="2" w:space="1" w:color="000000"/>
        </w:rPr>
        <w:t>Income Taxes</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Company accounts for income taxes under the asset and liability approach, which requires the recognition of deferred tax assets and liabilities for the expected future tax consequence of events that have been recognized in the Company’s Consolidated and Combined Financial Statements or income tax returns.  Income taxes are recognized during the period in which the underlying transactions are recorded.  Deferred taxes, with the exception of non-deductible goodwill, are provided for temporary differences between amounts of assets and liabilities as recorded for financial reporting purposes and such amounts as measured by tax laws.  If the Company determines that a deferred tax asset arising from temporary differences is not likely to be utilized, the Company will establish a valuation allowance against that asset to record it at its expected realizable value.  The Company recognizes uncertain tax positions when it is more likely than not that the tax position will be sustained upon examination by relevant taxing authorities, based on the technical merits of the position.  The amount recognized is measured as the largest amount of benefit that is greater than 50% likely of being realized upon ultimate settlement.  The Company’s effective tax rate is dependent on many factors including:  the impact of enacted tax laws in jurisdictions in which the Company operates; the amount of earnings by jurisdiction, due to varying tax rates in each country; and the Company’s ability to utilize foreign tax credits related to foreign taxes paid on foreign earnings that will be remitted to the U.S.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Comprehensive Income (Loss)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Comprehensive income (loss) is comprised of net income (loss) and other comprehensive income (loss).  Other comprehensive income (loss) includes net unrealized gains or losses resulting from currency translations of foreign subsidiaries.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Use of Estimates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preparation of the financial statements in conformity with U.S. GAAP to make extensive use of estimates and assumptions that affect the reported amount of assets and liabilities and disclosure of contingent assets and liabilities and the reported amounts of sales and expenses.  Actual results could differ materially from these estimates. Changes in estimates are recorded in results of operations in the period that the event or circumstances giving rise to such changes occurred.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color w:val="000000"/>
          <w:sz w:val="18"/>
          <w:bdr w:val="single" w:sz="2" w:space="1" w:color="000000"/>
        </w:rPr>
        <w:t>Recently Issued Accounting Pronouncements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color w:val="000000"/>
          <w:sz w:val="18"/>
          <w:bdr w:val="single" w:sz="2" w:space="1" w:color="000000"/>
        </w:rPr>
      </w:pPr>
      <w:r>
        <w:rPr>
          <w:rFonts w:ascii="Times New Roman" w:hAnsi="Times New Roman"/>
          <w:color w:val="000000"/>
          <w:sz w:val="18"/>
          <w:bdr w:val="single" w:sz="2" w:space="1" w:color="000000"/>
        </w:rPr>
        <w:t>In 2023, the Financial Accounting Standards Board ("FASB") issued guidance with the goal of providing more information about reportable segments, including disaggregated expense information. The Company adopted the guidance in fiscal 2025 which did not result in a material change to our Consolidated and Combined Financial Statements.</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In 2023, the FASB issued guidance with the goal of providing more information in the income tax reconciliation table and regarding income taxes paid. This Accounting Standard Update ("ASU") is effective for fiscal years beginning after December 15, 2024, may be applied prospectively or retrospectively, and allows for early adoption. The Company is currently evaluating the impact of adopting this guidance.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In 2024, the FASB issued guidance with the goal of providing more expense information for certain categories of expenses that are included in line items on the face of the statements of operations. This ASU is effective for fiscal years beginning after December 15, 2026 and for interim periods beginning after December 15, 2027, and may be adopted on a prospective or retrospective basis and allows for early adoption. The Company is currently evaluating the impact of adopting this guidance. </w:t>
      </w:r>
    </w:p>
    <w:p>
      <w:pPr>
        <w:pStyle w:val="TextBody"/>
        <w:bidi w:val="0"/>
        <w:spacing w:lineRule="atLeast" w:line="262"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2. Acquisition</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color w:val="000000"/>
          <w:sz w:val="18"/>
          <w:bdr w:val="single" w:sz="2" w:space="1" w:color="000000"/>
        </w:rPr>
        <w:t>Glatfelter</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The Transaction combined GLT’s sustainable solutions and product portfolio with Treasure’s proprietary technologies and global scale. The results of GLT have been included in the consolidated results of the Company since the Closing Date.</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21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The GLT acquisition has been accounted for under the purchase method of accounting and accordingly, the purchase price has been allocated to the identifiable assets and liabilities based on their fair value at the Closing Date. The Company recorded measurement period adjustments which included a $48 million decrease in the fair value of fixed assets offset by a $45 million decrease in other long-term liabilities, related primarily to deferred tax liabilities, resulting in a net $27 million increase to goodwill. </w:t>
      </w:r>
      <w:r>
        <w:rPr>
          <w:rFonts w:ascii="Times New Roman" w:hAnsi="Times New Roman"/>
          <w:spacing w:val="0"/>
          <w:sz w:val="18"/>
          <w:bdr w:val="single" w:sz="2" w:space="1" w:color="000000"/>
        </w:rPr>
        <w:t>For the year ended September 27, 2025, the Company recognized a reduction of depreciation and amortization expense of $21 million resulting from revised fair values of fixed assets and intangible assets. The Company has recognized goodwill on this Transaction primarily as a result of expected cost synergies and expects goodwill not to be deductible for tax purposes.</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The following table summarizes the final purchase price allocation:</w:t>
      </w:r>
      <w:r>
        <w:rPr>
          <w:rFonts w:ascii="Times New Roman" w:hAnsi="Times New Roman"/>
          <w:sz w:val="18"/>
          <w:bdr w:val="single" w:sz="2" w:space="1" w:color="000000"/>
        </w:rPr>
        <w:t xml:space="preserve"> </w:t>
      </w:r>
    </w:p>
    <w:p>
      <w:pPr>
        <w:pStyle w:val="TextBody"/>
        <w:bidi w:val="0"/>
        <w:spacing w:lineRule="atLeast" w:line="270" w:before="0" w:after="0"/>
        <w:jc w:val="left"/>
        <w:rPr>
          <w:bdr w:val="single" w:sz="2" w:space="1" w:color="000000"/>
        </w:rPr>
      </w:pPr>
      <w:r>
        <w:rPr>
          <w:bdr w:val="single" w:sz="2" w:space="1" w:color="000000"/>
        </w:rPr>
        <w:t> </w:t>
      </w:r>
    </w:p>
    <w:tbl>
      <w:tblPr>
        <w:tblW w:w="6500" w:type="dxa"/>
        <w:jc w:val="left"/>
        <w:tblInd w:w="0" w:type="dxa"/>
        <w:tblLayout w:type="fixed"/>
        <w:tblCellMar>
          <w:top w:w="0" w:type="dxa"/>
          <w:left w:w="0" w:type="dxa"/>
          <w:bottom w:w="0" w:type="dxa"/>
          <w:right w:w="0" w:type="dxa"/>
        </w:tblCellMar>
      </w:tblPr>
      <w:tblGrid>
        <w:gridCol w:w="5525"/>
        <w:gridCol w:w="90"/>
        <w:gridCol w:w="170"/>
        <w:gridCol w:w="485"/>
        <w:gridCol w:w="230"/>
      </w:tblGrid>
      <w:tr>
        <w:trPr/>
        <w:tc>
          <w:tcPr>
            <w:tcW w:w="55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283"/>
              <w:jc w:val="left"/>
              <w:rPr/>
            </w:pPr>
            <w:r>
              <w:rPr/>
              <w:t>Fair value of GLT common stock concurrent with closing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 w:type="dxa"/>
            <w:tcBorders/>
            <w:vAlign w:val="center"/>
          </w:tcPr>
          <w:p>
            <w:pPr>
              <w:pStyle w:val="TableContents"/>
              <w:bidi w:val="0"/>
              <w:spacing w:before="0" w:after="283"/>
              <w:jc w:val="right"/>
              <w:rPr/>
            </w:pPr>
            <w:r>
              <w:rPr/>
              <w:t>74</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283"/>
              <w:jc w:val="left"/>
              <w:rPr>
                <w:b/>
              </w:rPr>
            </w:pPr>
            <w:r>
              <w:rPr>
                <w:b/>
              </w:rPr>
              <w:t>Identifiable assets acquired and liabilities assumed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283"/>
              <w:jc w:val="left"/>
              <w:rPr/>
            </w:pPr>
            <w:r>
              <w:rPr/>
              <w:t>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37</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Working capital(a)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247</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589</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Identifiable intangible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51</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69</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Other long-term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(86</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(869</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283"/>
              <w:jc w:val="right"/>
              <w:rPr/>
            </w:pPr>
            <w:r>
              <w:rPr/>
              <w:t>36</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b/>
              </w:rPr>
            </w:pPr>
            <w:r>
              <w:rPr>
                <w:b/>
              </w:rPr>
              <w:t>Total consideration</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485" w:type="dxa"/>
            <w:tcBorders>
              <w:bottom w:val="double" w:sz="6" w:space="0" w:color="000000"/>
            </w:tcBorders>
            <w:tcMar>
              <w:bottom w:w="28" w:type="dxa"/>
            </w:tcMar>
            <w:vAlign w:val="center"/>
          </w:tcPr>
          <w:p>
            <w:pPr>
              <w:pStyle w:val="TableContents"/>
              <w:bidi w:val="0"/>
              <w:spacing w:before="0" w:after="283"/>
              <w:jc w:val="right"/>
              <w:rPr>
                <w:b/>
              </w:rPr>
            </w:pPr>
            <w:r>
              <w:rPr>
                <w:b/>
              </w:rPr>
              <w:t>74</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tLeast" w:line="243" w:before="0" w:after="0"/>
        <w:ind w:left="360" w:right="0" w:hanging="360"/>
        <w:jc w:val="left"/>
        <w:rPr>
          <w:rFonts w:ascii="Times New Roman" w:hAnsi="Times New Roman"/>
          <w:sz w:val="24"/>
          <w:bdr w:val="single" w:sz="2" w:space="1" w:color="000000"/>
        </w:rPr>
      </w:pPr>
      <w:r>
        <w:rPr>
          <w:rFonts w:ascii="Times New Roman" w:hAnsi="Times New Roman"/>
          <w:i/>
          <w:sz w:val="15"/>
          <w:bdr w:val="single" w:sz="2" w:space="1" w:color="000000"/>
        </w:rPr>
        <w:t>(a)</w:t>
      </w:r>
      <w:r>
        <w:rPr>
          <w:rFonts w:ascii="Times New Roman" w:hAnsi="Times New Roman"/>
          <w:i/>
          <w:sz w:val="24"/>
          <w:bdr w:val="single" w:sz="2" w:space="1" w:color="000000"/>
        </w:rPr>
        <w:t xml:space="preserve">    </w:t>
      </w:r>
      <w:r>
        <w:rPr>
          <w:rFonts w:ascii="Times New Roman" w:hAnsi="Times New Roman"/>
          <w:spacing w:val="0"/>
          <w:sz w:val="16"/>
          <w:bdr w:val="single" w:sz="2" w:space="1" w:color="000000"/>
        </w:rPr>
        <w:t>Includes a $16 million step up of inventory to fair value</w:t>
      </w:r>
      <w:r>
        <w:rPr>
          <w:rFonts w:ascii="Times New Roman" w:hAnsi="Times New Roman"/>
          <w:sz w:val="16"/>
          <w:bdr w:val="single" w:sz="2" w:space="1" w:color="000000"/>
        </w:rPr>
        <w:t xml:space="preserve"> </w:t>
      </w:r>
    </w:p>
    <w:p>
      <w:pPr>
        <w:pStyle w:val="TextBody"/>
        <w:bidi w:val="0"/>
        <w:spacing w:lineRule="atLeast" w:line="270"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When including GLT results for the periods prior to the Closing Date, unaudited pro forma net sales and net loss were $3,316 million and $(165) million, respectively, for the year ended September 27, 2025, and $3,496 million and $(292) million, respectively, for the year ended September 28, 2024. The unaudited pro forma net sales and net income figures assume that the Transaction was consummated as of the beginning of the relevant period. The net sales for the year ended September 27, 2025 included $1,145 million from GLT.</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3. Long-Term Debt</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Long-term debt consists of the following:</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7685" w:type="dxa"/>
        <w:jc w:val="left"/>
        <w:tblInd w:w="0" w:type="dxa"/>
        <w:tblLayout w:type="fixed"/>
        <w:tblCellMar>
          <w:top w:w="0" w:type="dxa"/>
          <w:left w:w="0" w:type="dxa"/>
          <w:bottom w:w="0" w:type="dxa"/>
          <w:right w:w="0" w:type="dxa"/>
        </w:tblCellMar>
      </w:tblPr>
      <w:tblGrid>
        <w:gridCol w:w="4040"/>
        <w:gridCol w:w="90"/>
        <w:gridCol w:w="1595"/>
        <w:gridCol w:w="90"/>
        <w:gridCol w:w="170"/>
        <w:gridCol w:w="590"/>
        <w:gridCol w:w="185"/>
        <w:gridCol w:w="90"/>
        <w:gridCol w:w="170"/>
        <w:gridCol w:w="530"/>
        <w:gridCol w:w="135"/>
      </w:tblGrid>
      <w:tr>
        <w:trPr/>
        <w:tc>
          <w:tcPr>
            <w:tcW w:w="4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4040" w:type="dxa"/>
            <w:tcBorders>
              <w:bottom w:val="single" w:sz="2" w:space="0" w:color="000000"/>
            </w:tcBorders>
            <w:tcMar>
              <w:bottom w:w="28" w:type="dxa"/>
            </w:tcMar>
            <w:vAlign w:val="center"/>
          </w:tcPr>
          <w:p>
            <w:pPr>
              <w:pStyle w:val="TableContents"/>
              <w:bidi w:val="0"/>
              <w:spacing w:before="0" w:after="283"/>
              <w:jc w:val="left"/>
              <w:rPr>
                <w:b/>
              </w:rPr>
            </w:pPr>
            <w:r>
              <w:rPr>
                <w:b/>
              </w:rPr>
              <w:t>Facility</w:t>
            </w:r>
          </w:p>
        </w:tc>
        <w:tc>
          <w:tcPr>
            <w:tcW w:w="90" w:type="dxa"/>
            <w:tcBorders/>
            <w:vAlign w:val="center"/>
          </w:tcPr>
          <w:p>
            <w:pPr>
              <w:pStyle w:val="TableContents"/>
              <w:bidi w:val="0"/>
              <w:spacing w:before="0" w:after="283"/>
              <w:jc w:val="left"/>
              <w:rPr/>
            </w:pPr>
            <w:r>
              <w:rPr/>
              <w:t> </w:t>
            </w:r>
          </w:p>
        </w:tc>
        <w:tc>
          <w:tcPr>
            <w:tcW w:w="1595" w:type="dxa"/>
            <w:tcBorders>
              <w:bottom w:val="single" w:sz="2" w:space="0" w:color="000000"/>
            </w:tcBorders>
            <w:tcMar>
              <w:bottom w:w="28" w:type="dxa"/>
            </w:tcMar>
            <w:vAlign w:val="center"/>
          </w:tcPr>
          <w:p>
            <w:pPr>
              <w:pStyle w:val="TableContents"/>
              <w:bidi w:val="0"/>
              <w:spacing w:before="0" w:after="283"/>
              <w:jc w:val="left"/>
              <w:rPr>
                <w:b/>
              </w:rPr>
            </w:pPr>
            <w:r>
              <w:rPr>
                <w:b/>
              </w:rPr>
              <w:t>Maturity Date</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sz w:val="4"/>
                <w:szCs w:val="4"/>
              </w:rPr>
            </w:pPr>
            <w:r>
              <w:rPr>
                <w:sz w:val="4"/>
                <w:szCs w:val="4"/>
              </w:rPr>
            </w:r>
          </w:p>
        </w:tc>
      </w:tr>
      <w:tr>
        <w:trPr/>
        <w:tc>
          <w:tcPr>
            <w:tcW w:w="4040" w:type="dxa"/>
            <w:tcBorders/>
            <w:vAlign w:val="center"/>
          </w:tcPr>
          <w:p>
            <w:pPr>
              <w:pStyle w:val="TableContents"/>
              <w:bidi w:val="0"/>
              <w:spacing w:before="0" w:after="283"/>
              <w:jc w:val="left"/>
              <w:rPr/>
            </w:pPr>
            <w:r>
              <w:rPr/>
              <w:t>Revolving credit facility</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left"/>
              <w:rPr/>
            </w:pPr>
            <w:r>
              <w:rPr/>
              <w:t>November 2029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 w:hAnsi="Times New Roman"/>
                <w:b/>
                <w:sz w:val="18"/>
              </w:rPr>
            </w:pPr>
            <w:r>
              <w:rPr>
                <w:rFonts w:ascii="Times New Roman" w:hAnsi="Times New Roman"/>
                <w:b/>
                <w:sz w:val="18"/>
              </w:rPr>
              <w:t>$</w:t>
            </w:r>
          </w:p>
        </w:tc>
        <w:tc>
          <w:tcPr>
            <w:tcW w:w="59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Term loan</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left"/>
              <w:rPr/>
            </w:pPr>
            <w:r>
              <w:rPr/>
              <w:t>November 2031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731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7.25% First Priority Senior Secured Notes</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left"/>
              <w:rPr/>
            </w:pPr>
            <w:r>
              <w:rPr/>
              <w:t>November 2031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800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4.75% First Priority Senior Secured Notes</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left"/>
              <w:rPr/>
            </w:pPr>
            <w:r>
              <w:rPr/>
              <w:t>October 2029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500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Debt discounts, deferred fees and other</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(79</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Total long-term debt</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1,952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tcMar>
              <w:bottom w:w="28" w:type="dxa"/>
            </w:tcMar>
            <w:vAlign w:val="center"/>
          </w:tcPr>
          <w:p>
            <w:pPr>
              <w:pStyle w:val="TableContents"/>
              <w:bidi w:val="0"/>
              <w:spacing w:before="0" w:after="283"/>
              <w:jc w:val="right"/>
              <w:rPr/>
            </w:pPr>
            <w:r>
              <w:rPr/>
              <w:t>—</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As part of the Transaction, the Company consummated a $785 million Term Loan due 2031 (the “Term Loan”), an $800 million issuance of 7.25 % First Priority Senior Secured Notes due 2031 (the “7.25% Notes”), and a $350 million revolving credit facility (the “Revolving Credit Facility”).  The proceeds from the Term Loan and 7.25% Notes were used to retire a portion of GLT outstanding debt and fund a cash distribution to Berry. The margin for the Term Loan is 4.25% per annum plus SOFR, which was approximately 4.16%.</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Despite not having financial maintenance covenants on our Term Loan and secured notes, these agreements do contain certain negative covenants.  The failure to comply with these negative covenants could restrict our ability to incur additional indebtedness, affect acquisitions, enter into certain significant business combinations, make distributions or redeem indebtedness. We are in compliance with all covenants as of September 27, 2025.</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Debt discounts, deferred financing fees and the purchase price adjustment related to the retained GLT 4.75 % First Priority Senior Secured Notes are presented net of Long-term debt, less the current portion on the Consolidated and Combined Balance Sheets and are amortized to Interest expense on the Consolidated and Combined Statements of Operations through maturity.</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Company has no future maturities of long-term debt until 2029, at which point $500 million and $1,531 million are due in fiscal year 2029 and 2031, respectively. Net cash interest was $124 million in fiscal 2025. </w:t>
      </w:r>
    </w:p>
    <w:p>
      <w:pPr>
        <w:pStyle w:val="TextBody"/>
        <w:bidi w:val="0"/>
        <w:spacing w:lineRule="atLeast" w:line="243" w:before="0" w:after="0"/>
        <w:ind w:left="0" w:right="0" w:hanging="54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22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4. Financial Instruments and Fair Value Measurements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In the normal course of business, the Company is exposed to certain risks arising from business operations and economic factors.  The Company may use derivative financial instruments to help manage market risk and reduce the exposure to fluctuations in foreign currencies.  These financial instruments are not used for trading or other speculative purposes.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color w:val="000000"/>
          <w:sz w:val="18"/>
          <w:bdr w:val="single" w:sz="2" w:space="1" w:color="000000"/>
        </w:rPr>
      </w:pPr>
      <w:r>
        <w:rPr>
          <w:rFonts w:ascii="Times New Roman" w:hAnsi="Times New Roman"/>
          <w:i/>
          <w:color w:val="000000"/>
          <w:sz w:val="18"/>
          <w:bdr w:val="single" w:sz="2" w:space="1" w:color="000000"/>
        </w:rPr>
        <w:t xml:space="preserve">Cross-Currency Swaps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 xml:space="preserve">The Company is party to certain cross-currency swaps to hedge a portion of our foreign currency risk. </w:t>
      </w:r>
      <w:r>
        <w:rPr>
          <w:rFonts w:ascii="Times New Roman" w:hAnsi="Times New Roman"/>
          <w:sz w:val="18"/>
          <w:bdr w:val="single" w:sz="2" w:space="1" w:color="000000"/>
        </w:rPr>
        <w:t>During fiscal 2025</w:t>
      </w:r>
      <w:r>
        <w:rPr>
          <w:rFonts w:ascii="Times New Roman" w:hAnsi="Times New Roman"/>
          <w:color w:val="000000"/>
          <w:sz w:val="18"/>
          <w:bdr w:val="single" w:sz="2" w:space="1" w:color="000000"/>
        </w:rPr>
        <w:t xml:space="preserve">, the Company received net proceeds of $22 million related to the settlement of existing cross-currency rate swaps, with the offset being recorded in Accumulated other comprehensive loss. Following the settlement, the Company entered into a €250 million and a €425 million cross-currency swap, maturing November 2027 and November 2029 respectively. The swaps are designated as a hedge of the Company’s foreign currency investment in foreign subsidiaries. The loss on net investment hedges, net of tax, recorded in accumulated other comprehensive loss for the year ended September 27, 2025 was $84 million. When valuing cross-currency swaps the Company utilizes Level 2 inputs (substantially observable).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color w:val="000000"/>
          <w:sz w:val="18"/>
          <w:bdr w:val="single" w:sz="2" w:space="1" w:color="000000"/>
        </w:rPr>
      </w:pPr>
      <w:r>
        <w:rPr>
          <w:rFonts w:ascii="Times New Roman" w:hAnsi="Times New Roman"/>
          <w:color w:val="000000"/>
          <w:sz w:val="18"/>
          <w:bdr w:val="single" w:sz="2" w:space="1" w:color="000000"/>
        </w:rPr>
        <w:t xml:space="preserve">The Company records the fair value positions of all derivative financial instruments on a net basis by counterparty for which a master netting arrangement is utilized. Balances on a gross basis are as follows: </w:t>
      </w:r>
    </w:p>
    <w:p>
      <w:pPr>
        <w:pStyle w:val="TextBody"/>
        <w:bidi w:val="0"/>
        <w:spacing w:lineRule="atLeast" w:line="262" w:before="0" w:after="0"/>
        <w:jc w:val="left"/>
        <w:rPr>
          <w:bdr w:val="single" w:sz="2" w:space="1" w:color="000000"/>
        </w:rPr>
      </w:pPr>
      <w:r>
        <w:rPr>
          <w:bdr w:val="single" w:sz="2" w:space="1" w:color="000000"/>
        </w:rPr>
        <w:t> </w:t>
      </w:r>
    </w:p>
    <w:tbl>
      <w:tblPr>
        <w:tblW w:w="8905" w:type="dxa"/>
        <w:jc w:val="left"/>
        <w:tblInd w:w="0" w:type="dxa"/>
        <w:tblLayout w:type="fixed"/>
        <w:tblCellMar>
          <w:top w:w="0" w:type="dxa"/>
          <w:left w:w="0" w:type="dxa"/>
          <w:bottom w:w="0" w:type="dxa"/>
          <w:right w:w="0" w:type="dxa"/>
        </w:tblCellMar>
      </w:tblPr>
      <w:tblGrid>
        <w:gridCol w:w="2405"/>
        <w:gridCol w:w="90"/>
        <w:gridCol w:w="1955"/>
        <w:gridCol w:w="90"/>
        <w:gridCol w:w="2465"/>
        <w:gridCol w:w="90"/>
        <w:gridCol w:w="170"/>
        <w:gridCol w:w="530"/>
        <w:gridCol w:w="185"/>
        <w:gridCol w:w="90"/>
        <w:gridCol w:w="170"/>
        <w:gridCol w:w="530"/>
        <w:gridCol w:w="135"/>
      </w:tblGrid>
      <w:tr>
        <w:trPr/>
        <w:tc>
          <w:tcPr>
            <w:tcW w:w="24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405" w:type="dxa"/>
            <w:tcBorders>
              <w:bottom w:val="single" w:sz="2" w:space="0" w:color="000000"/>
            </w:tcBorders>
            <w:tcMar>
              <w:bottom w:w="28" w:type="dxa"/>
            </w:tcMar>
            <w:vAlign w:val="center"/>
          </w:tcPr>
          <w:p>
            <w:pPr>
              <w:pStyle w:val="TableContents"/>
              <w:bidi w:val="0"/>
              <w:spacing w:before="0" w:after="283"/>
              <w:jc w:val="left"/>
              <w:rPr>
                <w:b/>
              </w:rPr>
            </w:pPr>
            <w:r>
              <w:rPr>
                <w:b/>
              </w:rPr>
              <w:t>Derivative Instruments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955" w:type="dxa"/>
            <w:tcBorders>
              <w:bottom w:val="single" w:sz="2" w:space="0" w:color="000000"/>
            </w:tcBorders>
            <w:tcMar>
              <w:bottom w:w="28" w:type="dxa"/>
            </w:tcMar>
            <w:vAlign w:val="center"/>
          </w:tcPr>
          <w:p>
            <w:pPr>
              <w:pStyle w:val="TableContents"/>
              <w:bidi w:val="0"/>
              <w:spacing w:before="0" w:after="283"/>
              <w:jc w:val="left"/>
              <w:rPr>
                <w:b/>
              </w:rPr>
            </w:pPr>
            <w:r>
              <w:rPr>
                <w:b/>
              </w:rPr>
              <w:t>Hedge Designation</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2465" w:type="dxa"/>
            <w:tcBorders>
              <w:bottom w:val="single" w:sz="2" w:space="0" w:color="000000"/>
            </w:tcBorders>
            <w:tcMar>
              <w:bottom w:w="28" w:type="dxa"/>
            </w:tcMar>
            <w:vAlign w:val="center"/>
          </w:tcPr>
          <w:p>
            <w:pPr>
              <w:pStyle w:val="TableContents"/>
              <w:bidi w:val="0"/>
              <w:spacing w:before="0" w:after="283"/>
              <w:jc w:val="left"/>
              <w:rPr>
                <w:b/>
              </w:rPr>
            </w:pPr>
            <w:r>
              <w:rPr>
                <w:b/>
              </w:rPr>
              <w:t>Balance Sheet Location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pPr>
            <w:r>
              <w:rPr/>
              <w:t>Cross-currency swaps</w:t>
            </w:r>
          </w:p>
        </w:tc>
        <w:tc>
          <w:tcPr>
            <w:tcW w:w="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Designated</w:t>
            </w:r>
          </w:p>
        </w:tc>
        <w:tc>
          <w:tcPr>
            <w:tcW w:w="9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Other long-term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530" w:type="dxa"/>
            <w:tcBorders/>
            <w:vAlign w:val="center"/>
          </w:tcPr>
          <w:p>
            <w:pPr>
              <w:pStyle w:val="TableContents"/>
              <w:bidi w:val="0"/>
              <w:spacing w:before="0" w:after="283"/>
              <w:jc w:val="right"/>
              <w:rPr>
                <w:b/>
              </w:rPr>
            </w:pPr>
            <w:r>
              <w:rPr>
                <w:b/>
              </w:rPr>
              <w:t>(99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lineRule="atLeast" w:line="270"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The effect of the Company’s derivative instruments on the Consolidated and Combined Statements of Operations is as follows: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8740" w:type="dxa"/>
        <w:jc w:val="left"/>
        <w:tblInd w:w="0" w:type="dxa"/>
        <w:tblLayout w:type="fixed"/>
        <w:tblCellMar>
          <w:top w:w="0" w:type="dxa"/>
          <w:left w:w="0" w:type="dxa"/>
          <w:bottom w:w="0" w:type="dxa"/>
          <w:right w:w="0" w:type="dxa"/>
        </w:tblCellMar>
      </w:tblPr>
      <w:tblGrid>
        <w:gridCol w:w="2405"/>
        <w:gridCol w:w="90"/>
        <w:gridCol w:w="3560"/>
        <w:gridCol w:w="90"/>
        <w:gridCol w:w="170"/>
        <w:gridCol w:w="530"/>
        <w:gridCol w:w="90"/>
        <w:gridCol w:w="90"/>
        <w:gridCol w:w="170"/>
        <w:gridCol w:w="530"/>
        <w:gridCol w:w="90"/>
        <w:gridCol w:w="90"/>
        <w:gridCol w:w="170"/>
        <w:gridCol w:w="530"/>
        <w:gridCol w:w="135"/>
      </w:tblGrid>
      <w:tr>
        <w:trPr/>
        <w:tc>
          <w:tcPr>
            <w:tcW w:w="24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405" w:type="dxa"/>
            <w:tcBorders>
              <w:bottom w:val="single" w:sz="2" w:space="0" w:color="000000"/>
            </w:tcBorders>
            <w:tcMar>
              <w:bottom w:w="28" w:type="dxa"/>
            </w:tcMar>
            <w:vAlign w:val="center"/>
          </w:tcPr>
          <w:p>
            <w:pPr>
              <w:pStyle w:val="TableContents"/>
              <w:bidi w:val="0"/>
              <w:spacing w:before="0" w:after="283"/>
              <w:jc w:val="left"/>
              <w:rPr>
                <w:b/>
              </w:rPr>
            </w:pPr>
            <w:r>
              <w:rPr>
                <w:b/>
              </w:rPr>
              <w:t>Derivative Instruments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3560" w:type="dxa"/>
            <w:tcBorders>
              <w:bottom w:val="single" w:sz="2" w:space="0" w:color="000000"/>
            </w:tcBorders>
            <w:tcMar>
              <w:bottom w:w="28" w:type="dxa"/>
            </w:tcMar>
            <w:vAlign w:val="center"/>
          </w:tcPr>
          <w:p>
            <w:pPr>
              <w:pStyle w:val="TableContents"/>
              <w:bidi w:val="0"/>
              <w:spacing w:before="0" w:after="283"/>
              <w:jc w:val="left"/>
              <w:rPr>
                <w:b/>
              </w:rPr>
            </w:pPr>
            <w:r>
              <w:rPr>
                <w:b/>
              </w:rPr>
              <w:t>Statements of Operations Location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2023</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pPr>
            <w:r>
              <w:rPr/>
              <w:t>Cross-currency swaps</w:t>
            </w:r>
          </w:p>
        </w:tc>
        <w:tc>
          <w:tcPr>
            <w:tcW w:w="9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Interest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530" w:type="dxa"/>
            <w:tcBorders/>
            <w:vAlign w:val="center"/>
          </w:tcPr>
          <w:p>
            <w:pPr>
              <w:pStyle w:val="TableContents"/>
              <w:bidi w:val="0"/>
              <w:spacing w:before="0" w:after="283"/>
              <w:jc w:val="right"/>
              <w:rPr>
                <w:b/>
              </w:rPr>
            </w:pPr>
            <w:r>
              <w:rPr>
                <w:b/>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pacing w:val="0"/>
          <w:sz w:val="18"/>
          <w:bdr w:val="single" w:sz="2" w:space="1" w:color="000000"/>
        </w:rPr>
      </w:pPr>
      <w:r>
        <w:rPr>
          <w:rFonts w:ascii="Times New Roman" w:hAnsi="Times New Roman"/>
          <w:spacing w:val="0"/>
          <w:sz w:val="18"/>
          <w:bdr w:val="single" w:sz="2" w:space="1" w:color="000000"/>
        </w:rPr>
        <w:t>The Company’s financial instruments consist primarily of cash and cash equivalents, long-term debt, and cross-currency swap agreements.  The book value of our marketable long-term indebtedness exceeded fair value by</w:t>
      </w:r>
      <w:r>
        <w:rPr>
          <w:rFonts w:ascii="Times New Roman" w:hAnsi="Times New Roman"/>
          <w:spacing w:val="0"/>
          <w:sz w:val="18"/>
          <w:bdr w:val="single" w:sz="2" w:space="1" w:color="000000"/>
          <w:shd w:fill="FFFFFF" w:val="clear"/>
        </w:rPr>
        <w:t> </w:t>
      </w:r>
      <w:r>
        <w:rPr>
          <w:rFonts w:ascii="Times New Roman" w:hAnsi="Times New Roman"/>
          <w:spacing w:val="0"/>
          <w:sz w:val="18"/>
          <w:bdr w:val="single" w:sz="2" w:space="1" w:color="000000"/>
        </w:rPr>
        <w:t>$108 million as of September 27, 2025.  The Company’s long-term debt fair values were determined using Level 2 inputs (substantially observable).</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i/>
          <w:color w:val="000000"/>
          <w:sz w:val="18"/>
          <w:bdr w:val="single" w:sz="2" w:space="1" w:color="000000"/>
        </w:rPr>
        <w:t>Non-recurring Fair Value Measurements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The Company has certain assets that are measured at fair value on a non-recurring basis when impairment indicators are present or when the Company completes an acquisition.  The Company adjusts certain long-lived assets to fair value only when the carrying values exceed the fair values.  The categorization of the framework used to value the assets is considered Level 3, due to the subjective nature of the unobservable inputs used to determine the fair value.  These assets that are subject to our impairment analysis primarily include our definite lived and indefinite lived intangible assets, including Goodwill and our Property, plant and equipment.  The Company reviews Goodwill and other indefinite lived assets for impairment as of the first day of the fourth fiscal quarter each year and more frequently if impairment indicators exist.  As a result of the fiscal 2024 assessment, the Company recorded an impairment charge of $172 million. No impairment indicators were identified in the current year.</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Included in the following tables are the major categories of assets and their current carrying values, along with the impairment loss recognized on the fair value measurement for the period then ended:</w:t>
      </w:r>
      <w:r>
        <w:rPr>
          <w:rFonts w:ascii="Times New Roman" w:hAnsi="Times New Roman"/>
          <w:sz w:val="18"/>
          <w:bdr w:val="single" w:sz="2" w:space="1" w:color="000000"/>
        </w:rPr>
        <w:t xml:space="preserve"> </w:t>
      </w:r>
    </w:p>
    <w:p>
      <w:pPr>
        <w:pStyle w:val="TextBody"/>
        <w:bidi w:val="0"/>
        <w:spacing w:lineRule="atLeast" w:line="270" w:before="0" w:after="0"/>
        <w:jc w:val="left"/>
        <w:rPr>
          <w:bdr w:val="single" w:sz="2" w:space="1" w:color="000000"/>
        </w:rPr>
      </w:pPr>
      <w:r>
        <w:rPr>
          <w:bdr w:val="single" w:sz="2" w:space="1" w:color="000000"/>
        </w:rPr>
        <w:t> </w:t>
      </w:r>
    </w:p>
    <w:tbl>
      <w:tblPr>
        <w:tblW w:w="8980" w:type="dxa"/>
        <w:jc w:val="left"/>
        <w:tblInd w:w="0" w:type="dxa"/>
        <w:tblLayout w:type="fixed"/>
        <w:tblCellMar>
          <w:top w:w="0" w:type="dxa"/>
          <w:left w:w="0" w:type="dxa"/>
          <w:bottom w:w="0" w:type="dxa"/>
          <w:right w:w="0" w:type="dxa"/>
        </w:tblCellMar>
      </w:tblPr>
      <w:tblGrid>
        <w:gridCol w:w="2975"/>
        <w:gridCol w:w="90"/>
        <w:gridCol w:w="170"/>
        <w:gridCol w:w="785"/>
        <w:gridCol w:w="90"/>
        <w:gridCol w:w="90"/>
        <w:gridCol w:w="170"/>
        <w:gridCol w:w="785"/>
        <w:gridCol w:w="90"/>
        <w:gridCol w:w="90"/>
        <w:gridCol w:w="170"/>
        <w:gridCol w:w="785"/>
        <w:gridCol w:w="90"/>
        <w:gridCol w:w="90"/>
        <w:gridCol w:w="170"/>
        <w:gridCol w:w="590"/>
        <w:gridCol w:w="90"/>
        <w:gridCol w:w="90"/>
        <w:gridCol w:w="170"/>
        <w:gridCol w:w="1265"/>
        <w:gridCol w:w="135"/>
      </w:tblGrid>
      <w:tr>
        <w:trPr/>
        <w:tc>
          <w:tcPr>
            <w:tcW w:w="29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15" w:type="dxa"/>
            <w:gridSpan w:val="19"/>
            <w:tcBorders>
              <w:bottom w:val="single" w:sz="2" w:space="0" w:color="000000"/>
            </w:tcBorders>
            <w:tcMar>
              <w:bottom w:w="28" w:type="dxa"/>
            </w:tcMar>
            <w:vAlign w:val="center"/>
          </w:tcPr>
          <w:p>
            <w:pPr>
              <w:pStyle w:val="TableContents"/>
              <w:bidi w:val="0"/>
              <w:spacing w:before="0" w:after="283"/>
              <w:jc w:val="center"/>
              <w:rPr>
                <w:b/>
              </w:rPr>
            </w:pPr>
            <w:r>
              <w:rPr>
                <w:b/>
              </w:rPr>
              <w:t>2025</w:t>
            </w:r>
          </w:p>
        </w:tc>
      </w:tr>
      <w:tr>
        <w:trPr/>
        <w:tc>
          <w:tcPr>
            <w:tcW w:w="2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Impairment</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Indefinite-lived trademarks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8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8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85" w:type="dxa"/>
            <w:tcBorders/>
            <w:vAlign w:val="center"/>
          </w:tcPr>
          <w:p>
            <w:pPr>
              <w:pStyle w:val="TableContents"/>
              <w:bidi w:val="0"/>
              <w:spacing w:before="0" w:after="283"/>
              <w:jc w:val="right"/>
              <w:rPr>
                <w:b/>
              </w:rPr>
            </w:pPr>
            <w:r>
              <w:rPr>
                <w:b/>
              </w:rPr>
              <w:t>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590" w:type="dxa"/>
            <w:tcBorders/>
            <w:vAlign w:val="center"/>
          </w:tcPr>
          <w:p>
            <w:pPr>
              <w:pStyle w:val="TableContents"/>
              <w:bidi w:val="0"/>
              <w:spacing w:before="0" w:after="283"/>
              <w:jc w:val="right"/>
              <w:rPr>
                <w:b/>
              </w:rPr>
            </w:pPr>
            <w:r>
              <w:rPr>
                <w:b/>
              </w:rPr>
              <w:t>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663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663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Definite lived intangible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201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201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Property, plant, and equipment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b/>
              </w:rPr>
            </w:pPr>
            <w:r>
              <w:rPr>
                <w:b/>
              </w:rPr>
              <w:t>1,476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1,476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double" w:sz="6" w:space="0" w:color="000000"/>
            </w:tcBorders>
            <w:tcMar>
              <w:bottom w:w="28" w:type="dxa"/>
            </w:tcMar>
            <w:vAlign w:val="center"/>
          </w:tcPr>
          <w:p>
            <w:pPr>
              <w:pStyle w:val="TableContents"/>
              <w:bidi w:val="0"/>
              <w:spacing w:before="0" w:after="283"/>
              <w:jc w:val="right"/>
              <w:rPr>
                <w:b/>
              </w:rPr>
            </w:pPr>
            <w:r>
              <w:rPr>
                <w:b/>
              </w:rPr>
              <w:t>2,366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2,366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tLeast" w:line="270" w:before="0" w:after="0"/>
        <w:jc w:val="left"/>
        <w:rPr>
          <w:bdr w:val="single" w:sz="2" w:space="1" w:color="000000"/>
        </w:rPr>
      </w:pPr>
      <w:r>
        <w:rPr>
          <w:bdr w:val="single" w:sz="2" w:space="1" w:color="000000"/>
        </w:rPr>
        <w:t> </w:t>
      </w:r>
    </w:p>
    <w:tbl>
      <w:tblPr>
        <w:tblW w:w="8895" w:type="dxa"/>
        <w:jc w:val="left"/>
        <w:tblInd w:w="0" w:type="dxa"/>
        <w:tblLayout w:type="fixed"/>
        <w:tblCellMar>
          <w:top w:w="0" w:type="dxa"/>
          <w:left w:w="0" w:type="dxa"/>
          <w:bottom w:w="0" w:type="dxa"/>
          <w:right w:w="0" w:type="dxa"/>
        </w:tblCellMar>
      </w:tblPr>
      <w:tblGrid>
        <w:gridCol w:w="2975"/>
        <w:gridCol w:w="90"/>
        <w:gridCol w:w="170"/>
        <w:gridCol w:w="770"/>
        <w:gridCol w:w="90"/>
        <w:gridCol w:w="90"/>
        <w:gridCol w:w="170"/>
        <w:gridCol w:w="770"/>
        <w:gridCol w:w="90"/>
        <w:gridCol w:w="90"/>
        <w:gridCol w:w="170"/>
        <w:gridCol w:w="770"/>
        <w:gridCol w:w="90"/>
        <w:gridCol w:w="90"/>
        <w:gridCol w:w="170"/>
        <w:gridCol w:w="590"/>
        <w:gridCol w:w="90"/>
        <w:gridCol w:w="90"/>
        <w:gridCol w:w="170"/>
        <w:gridCol w:w="1130"/>
        <w:gridCol w:w="230"/>
      </w:tblGrid>
      <w:tr>
        <w:trPr/>
        <w:tc>
          <w:tcPr>
            <w:tcW w:w="29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30" w:type="dxa"/>
            <w:gridSpan w:val="19"/>
            <w:tcBorders>
              <w:bottom w:val="single" w:sz="2" w:space="0" w:color="000000"/>
            </w:tcBorders>
            <w:tcMar>
              <w:bottom w:w="28" w:type="dxa"/>
            </w:tcMar>
            <w:vAlign w:val="center"/>
          </w:tcPr>
          <w:p>
            <w:pPr>
              <w:pStyle w:val="TableContents"/>
              <w:bidi w:val="0"/>
              <w:spacing w:before="0" w:after="283"/>
              <w:jc w:val="center"/>
              <w:rPr/>
            </w:pPr>
            <w:r>
              <w:rPr/>
              <w:t>2024</w:t>
            </w:r>
          </w:p>
        </w:tc>
      </w:tr>
      <w:tr>
        <w:trPr/>
        <w:tc>
          <w:tcPr>
            <w:tcW w:w="2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pPr>
            <w:r>
              <w:rPr/>
              <w:t>Level 1</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pPr>
            <w:r>
              <w:rPr/>
              <w:t>Level 2</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pPr>
            <w:r>
              <w:rPr/>
              <w:t>Level 3</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center"/>
              <w:rPr/>
            </w:pPr>
            <w:r>
              <w:rPr/>
              <w:t>Total</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tcMar>
              <w:bottom w:w="28" w:type="dxa"/>
            </w:tcMar>
            <w:vAlign w:val="center"/>
          </w:tcPr>
          <w:p>
            <w:pPr>
              <w:pStyle w:val="TableContents"/>
              <w:bidi w:val="0"/>
              <w:spacing w:before="0" w:after="283"/>
              <w:jc w:val="center"/>
              <w:rPr/>
            </w:pPr>
            <w:r>
              <w:rPr/>
              <w:t>Impairment</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Indefinite-lived trademarks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right"/>
              <w:rPr/>
            </w:pPr>
            <w:r>
              <w:rPr/>
              <w:t>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624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(171</w:t>
            </w:r>
          </w:p>
        </w:tc>
        <w:tc>
          <w:tcPr>
            <w:tcW w:w="23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Definite lived intangible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Property, plant, and equipment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949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949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1,799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1,799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(172</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23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5. Commitments, Leases and Contingencies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Company has various purchase commitments for raw materials, supplies and property and equipment incidental to the ordinary conduct of business.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i/>
          <w:sz w:val="18"/>
          <w:bdr w:val="single" w:sz="2" w:space="1" w:color="000000"/>
        </w:rPr>
        <w:t>Leases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color w:val="000000"/>
          <w:sz w:val="18"/>
          <w:bdr w:val="single" w:sz="2" w:space="1" w:color="000000"/>
        </w:rPr>
      </w:pPr>
      <w:r>
        <w:rPr>
          <w:rFonts w:ascii="Times New Roman" w:hAnsi="Times New Roman"/>
          <w:color w:val="000000"/>
          <w:sz w:val="18"/>
          <w:bdr w:val="single" w:sz="2" w:space="1" w:color="000000"/>
        </w:rPr>
        <w:t>The Company leases certain manufacturing facilities, warehouses, office space, manufacturing equipment, office equipment, and automobiles. Finance leases are not material for all periods presented.</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Supplemental lease information is as follows: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7740" w:type="dxa"/>
        <w:jc w:val="left"/>
        <w:tblInd w:w="0" w:type="dxa"/>
        <w:tblLayout w:type="fixed"/>
        <w:tblCellMar>
          <w:top w:w="0" w:type="dxa"/>
          <w:left w:w="0" w:type="dxa"/>
          <w:bottom w:w="0" w:type="dxa"/>
          <w:right w:w="0" w:type="dxa"/>
        </w:tblCellMar>
      </w:tblPr>
      <w:tblGrid>
        <w:gridCol w:w="3515"/>
        <w:gridCol w:w="2420"/>
        <w:gridCol w:w="90"/>
        <w:gridCol w:w="170"/>
        <w:gridCol w:w="530"/>
        <w:gridCol w:w="90"/>
        <w:gridCol w:w="90"/>
        <w:gridCol w:w="170"/>
        <w:gridCol w:w="530"/>
        <w:gridCol w:w="135"/>
      </w:tblGrid>
      <w:tr>
        <w:trPr/>
        <w:tc>
          <w:tcPr>
            <w:tcW w:w="3515"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515" w:type="dxa"/>
            <w:tcBorders>
              <w:bottom w:val="single" w:sz="2" w:space="0" w:color="000000"/>
            </w:tcBorders>
            <w:tcMar>
              <w:bottom w:w="28" w:type="dxa"/>
            </w:tcMar>
            <w:vAlign w:val="center"/>
          </w:tcPr>
          <w:p>
            <w:pPr>
              <w:pStyle w:val="TableContents"/>
              <w:bidi w:val="0"/>
              <w:spacing w:before="0" w:after="283"/>
              <w:jc w:val="left"/>
              <w:rPr>
                <w:b/>
              </w:rPr>
            </w:pPr>
            <w:r>
              <w:rPr>
                <w:b/>
              </w:rPr>
              <w:t>Leases</w:t>
            </w:r>
          </w:p>
        </w:tc>
        <w:tc>
          <w:tcPr>
            <w:tcW w:w="2420" w:type="dxa"/>
            <w:tcBorders>
              <w:bottom w:val="single" w:sz="2" w:space="0" w:color="000000"/>
            </w:tcBorders>
            <w:tcMar>
              <w:bottom w:w="28" w:type="dxa"/>
            </w:tcMar>
            <w:vAlign w:val="center"/>
          </w:tcPr>
          <w:p>
            <w:pPr>
              <w:pStyle w:val="TableContents"/>
              <w:bidi w:val="0"/>
              <w:spacing w:before="0" w:after="283"/>
              <w:jc w:val="left"/>
              <w:rPr>
                <w:b/>
              </w:rPr>
            </w:pPr>
            <w:r>
              <w:rPr>
                <w:b/>
              </w:rPr>
              <w:t>Classification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left"/>
              <w:rPr/>
            </w:pPr>
            <w:r>
              <w:rPr/>
              <w:t>Operating leases:</w:t>
            </w:r>
          </w:p>
        </w:tc>
        <w:tc>
          <w:tcPr>
            <w:tcW w:w="24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left"/>
              <w:rPr/>
            </w:pPr>
            <w:r>
              <w:rPr/>
              <w:t>Operating lease right-of-use assets</w:t>
            </w:r>
          </w:p>
        </w:tc>
        <w:tc>
          <w:tcPr>
            <w:tcW w:w="2420" w:type="dxa"/>
            <w:tcBorders/>
            <w:vAlign w:val="center"/>
          </w:tcPr>
          <w:p>
            <w:pPr>
              <w:pStyle w:val="TableContents"/>
              <w:bidi w:val="0"/>
              <w:spacing w:before="0" w:after="283"/>
              <w:jc w:val="left"/>
              <w:rPr/>
            </w:pPr>
            <w:r>
              <w:rPr/>
              <w:t>Right-of-use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530" w:type="dxa"/>
            <w:tcBorders/>
            <w:vAlign w:val="center"/>
          </w:tcPr>
          <w:p>
            <w:pPr>
              <w:pStyle w:val="TableContents"/>
              <w:bidi w:val="0"/>
              <w:spacing w:before="0" w:after="283"/>
              <w:jc w:val="right"/>
              <w:rPr>
                <w:b/>
              </w:rPr>
            </w:pPr>
            <w:r>
              <w:rPr>
                <w:b/>
              </w:rPr>
              <w:t>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49</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Current operating lease liabilities</w:t>
            </w:r>
          </w:p>
        </w:tc>
        <w:tc>
          <w:tcPr>
            <w:tcW w:w="2420" w:type="dxa"/>
            <w:tcBorders/>
            <w:vAlign w:val="center"/>
          </w:tcPr>
          <w:p>
            <w:pPr>
              <w:pStyle w:val="TableContents"/>
              <w:bidi w:val="0"/>
              <w:spacing w:before="0" w:after="283"/>
              <w:jc w:val="left"/>
              <w:rPr/>
            </w:pPr>
            <w:r>
              <w:rPr/>
              <w:t>Other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11</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Noncurrent operating lease liabilities</w:t>
            </w:r>
          </w:p>
        </w:tc>
        <w:tc>
          <w:tcPr>
            <w:tcW w:w="242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39</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tbl>
      <w:tblPr>
        <w:tblW w:w="8413" w:type="dxa"/>
        <w:jc w:val="left"/>
        <w:tblInd w:w="0" w:type="dxa"/>
        <w:tblLayout w:type="fixed"/>
        <w:tblCellMar>
          <w:top w:w="0" w:type="dxa"/>
          <w:left w:w="0" w:type="dxa"/>
          <w:bottom w:w="0" w:type="dxa"/>
          <w:right w:w="0" w:type="dxa"/>
        </w:tblCellMar>
      </w:tblPr>
      <w:tblGrid>
        <w:gridCol w:w="1625"/>
        <w:gridCol w:w="2555"/>
        <w:gridCol w:w="2555"/>
        <w:gridCol w:w="170"/>
        <w:gridCol w:w="530"/>
        <w:gridCol w:w="90"/>
        <w:gridCol w:w="53"/>
        <w:gridCol w:w="170"/>
        <w:gridCol w:w="530"/>
        <w:gridCol w:w="135"/>
      </w:tblGrid>
      <w:tr>
        <w:trPr/>
        <w:tc>
          <w:tcPr>
            <w:tcW w:w="1625"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1625" w:type="dxa"/>
            <w:tcBorders>
              <w:bottom w:val="single" w:sz="2" w:space="0" w:color="000000"/>
            </w:tcBorders>
            <w:tcMar>
              <w:bottom w:w="28" w:type="dxa"/>
            </w:tcMar>
            <w:vAlign w:val="center"/>
          </w:tcPr>
          <w:p>
            <w:pPr>
              <w:pStyle w:val="TableContents"/>
              <w:bidi w:val="0"/>
              <w:spacing w:before="0" w:after="283"/>
              <w:jc w:val="left"/>
              <w:rPr>
                <w:b/>
              </w:rPr>
            </w:pPr>
            <w:r>
              <w:rPr>
                <w:b/>
              </w:rPr>
              <w:t>Lease Type</w:t>
            </w:r>
          </w:p>
        </w:tc>
        <w:tc>
          <w:tcPr>
            <w:tcW w:w="2555" w:type="dxa"/>
            <w:tcBorders>
              <w:bottom w:val="single" w:sz="2" w:space="0" w:color="000000"/>
            </w:tcBorders>
            <w:tcMar>
              <w:bottom w:w="28" w:type="dxa"/>
            </w:tcMar>
            <w:vAlign w:val="center"/>
          </w:tcPr>
          <w:p>
            <w:pPr>
              <w:pStyle w:val="TableContents"/>
              <w:bidi w:val="0"/>
              <w:spacing w:before="0" w:after="283"/>
              <w:jc w:val="left"/>
              <w:rPr>
                <w:b/>
              </w:rPr>
            </w:pPr>
            <w:r>
              <w:rPr>
                <w:b/>
              </w:rPr>
              <w:t>Cash Flow Classification</w:t>
            </w:r>
          </w:p>
        </w:tc>
        <w:tc>
          <w:tcPr>
            <w:tcW w:w="2555" w:type="dxa"/>
            <w:tcBorders>
              <w:bottom w:val="single" w:sz="2" w:space="0" w:color="000000"/>
            </w:tcBorders>
            <w:tcMar>
              <w:bottom w:w="28" w:type="dxa"/>
            </w:tcMar>
            <w:vAlign w:val="center"/>
          </w:tcPr>
          <w:p>
            <w:pPr>
              <w:pStyle w:val="TableContents"/>
              <w:bidi w:val="0"/>
              <w:spacing w:before="0" w:after="283"/>
              <w:jc w:val="left"/>
              <w:rPr>
                <w:b/>
              </w:rPr>
            </w:pPr>
            <w:r>
              <w:rPr>
                <w:b/>
              </w:rPr>
              <w:t>Lease Expense Category</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5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35"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1625" w:type="dxa"/>
            <w:tcBorders/>
            <w:vAlign w:val="center"/>
          </w:tcPr>
          <w:p>
            <w:pPr>
              <w:pStyle w:val="TableContents"/>
              <w:bidi w:val="0"/>
              <w:spacing w:before="0" w:after="283"/>
              <w:jc w:val="left"/>
              <w:rPr/>
            </w:pPr>
            <w:r>
              <w:rPr/>
              <w:t>Operating leases</w:t>
            </w:r>
          </w:p>
        </w:tc>
        <w:tc>
          <w:tcPr>
            <w:tcW w:w="2555" w:type="dxa"/>
            <w:tcBorders/>
            <w:vAlign w:val="center"/>
          </w:tcPr>
          <w:p>
            <w:pPr>
              <w:pStyle w:val="TableContents"/>
              <w:bidi w:val="0"/>
              <w:spacing w:before="0" w:after="283"/>
              <w:jc w:val="left"/>
              <w:rPr/>
            </w:pPr>
            <w:r>
              <w:rPr/>
              <w:t>Operating cash flows</w:t>
            </w:r>
          </w:p>
        </w:tc>
        <w:tc>
          <w:tcPr>
            <w:tcW w:w="2555" w:type="dxa"/>
            <w:tcBorders/>
            <w:vAlign w:val="center"/>
          </w:tcPr>
          <w:p>
            <w:pPr>
              <w:pStyle w:val="TableContents"/>
              <w:bidi w:val="0"/>
              <w:spacing w:before="0" w:after="283"/>
              <w:jc w:val="left"/>
              <w:rPr/>
            </w:pPr>
            <w:r>
              <w:rPr/>
              <w:t>Lease cost</w:t>
            </w:r>
          </w:p>
        </w:tc>
        <w:tc>
          <w:tcPr>
            <w:tcW w:w="170" w:type="dxa"/>
            <w:tcBorders/>
            <w:vAlign w:val="center"/>
          </w:tcPr>
          <w:p>
            <w:pPr>
              <w:pStyle w:val="TableContents"/>
              <w:bidi w:val="0"/>
              <w:spacing w:before="0" w:after="283"/>
              <w:jc w:val="left"/>
              <w:rPr>
                <w:b/>
              </w:rPr>
            </w:pPr>
            <w:r>
              <w:rPr>
                <w:b/>
              </w:rPr>
              <w:t>$</w:t>
            </w:r>
          </w:p>
        </w:tc>
        <w:tc>
          <w:tcPr>
            <w:tcW w:w="530" w:type="dxa"/>
            <w:tcBorders/>
            <w:vAlign w:val="center"/>
          </w:tcPr>
          <w:p>
            <w:pPr>
              <w:pStyle w:val="TableContents"/>
              <w:bidi w:val="0"/>
              <w:spacing w:before="0" w:after="283"/>
              <w:jc w:val="right"/>
              <w:rPr>
                <w:b/>
              </w:rPr>
            </w:pPr>
            <w:r>
              <w:rPr>
                <w:b/>
              </w:rPr>
              <w:t>25</w:t>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15</w:t>
            </w:r>
          </w:p>
        </w:tc>
        <w:tc>
          <w:tcPr>
            <w:tcW w:w="135" w:type="dxa"/>
            <w:tcBorders/>
            <w:vAlign w:val="center"/>
          </w:tcPr>
          <w:p>
            <w:pPr>
              <w:pStyle w:val="TableContents"/>
              <w:bidi w:val="0"/>
              <w:spacing w:before="0" w:after="283"/>
              <w:jc w:val="left"/>
              <w:rPr/>
            </w:pPr>
            <w:r>
              <w:rPr/>
              <w:t> </w:t>
            </w:r>
          </w:p>
        </w:tc>
      </w:tr>
    </w:tbl>
    <w:tbl>
      <w:tblPr>
        <w:tblW w:w="537"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 w:space="1" w:color="000000"/>
        </w:rPr>
      </w:pPr>
      <w:r>
        <w:rPr>
          <w:bdr w:val="single" w:sz="2" w:space="1" w:color="000000"/>
        </w:rPr>
        <w:t> </w:t>
      </w:r>
    </w:p>
    <w:tbl>
      <w:tblPr>
        <w:tblW w:w="8253" w:type="dxa"/>
        <w:jc w:val="left"/>
        <w:tblInd w:w="0" w:type="dxa"/>
        <w:tblLayout w:type="fixed"/>
        <w:tblCellMar>
          <w:top w:w="0" w:type="dxa"/>
          <w:left w:w="0" w:type="dxa"/>
          <w:bottom w:w="0" w:type="dxa"/>
          <w:right w:w="0" w:type="dxa"/>
        </w:tblCellMar>
      </w:tblPr>
      <w:tblGrid>
        <w:gridCol w:w="5495"/>
        <w:gridCol w:w="90"/>
        <w:gridCol w:w="90"/>
        <w:gridCol w:w="950"/>
        <w:gridCol w:w="290"/>
        <w:gridCol w:w="53"/>
        <w:gridCol w:w="90"/>
        <w:gridCol w:w="905"/>
        <w:gridCol w:w="290"/>
      </w:tblGrid>
      <w:tr>
        <w:trPr/>
        <w:tc>
          <w:tcPr>
            <w:tcW w:w="54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4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5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290"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5495" w:type="dxa"/>
            <w:tcBorders/>
            <w:vAlign w:val="center"/>
          </w:tcPr>
          <w:p>
            <w:pPr>
              <w:pStyle w:val="TableContents"/>
              <w:bidi w:val="0"/>
              <w:spacing w:before="0" w:after="283"/>
              <w:jc w:val="left"/>
              <w:rPr/>
            </w:pPr>
            <w:r>
              <w:rPr/>
              <w:t>Weighted-average remaining lease term - operating leases</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b/>
              </w:rPr>
            </w:pPr>
            <w:r>
              <w:rPr>
                <w:b/>
              </w:rPr>
              <w:t>5.6 years</w:t>
            </w:r>
          </w:p>
        </w:tc>
        <w:tc>
          <w:tcPr>
            <w:tcW w:w="290" w:type="dxa"/>
            <w:tcBorders/>
            <w:vAlign w:val="center"/>
          </w:tcPr>
          <w:p>
            <w:pPr>
              <w:pStyle w:val="TableContents"/>
              <w:bidi w:val="0"/>
              <w:spacing w:before="0" w:after="283"/>
              <w:jc w:val="righ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6.5 years</w:t>
            </w:r>
          </w:p>
        </w:tc>
        <w:tc>
          <w:tcPr>
            <w:tcW w:w="290" w:type="dxa"/>
            <w:tcBorders/>
            <w:vAlign w:val="center"/>
          </w:tcPr>
          <w:p>
            <w:pPr>
              <w:pStyle w:val="TableContents"/>
              <w:bidi w:val="0"/>
              <w:spacing w:before="0" w:after="283"/>
              <w:jc w:val="right"/>
              <w:rPr/>
            </w:pPr>
            <w:r>
              <w:rPr/>
              <w:t> </w:t>
            </w:r>
          </w:p>
        </w:tc>
      </w:tr>
      <w:tr>
        <w:trPr/>
        <w:tc>
          <w:tcPr>
            <w:tcW w:w="5495" w:type="dxa"/>
            <w:tcBorders/>
            <w:vAlign w:val="center"/>
          </w:tcPr>
          <w:p>
            <w:pPr>
              <w:pStyle w:val="TableContents"/>
              <w:bidi w:val="0"/>
              <w:spacing w:before="0" w:after="283"/>
              <w:jc w:val="left"/>
              <w:rPr/>
            </w:pPr>
            <w:r>
              <w:rPr/>
              <w:t>Weighted-average discount rate - operating leases</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b/>
              </w:rPr>
            </w:pPr>
            <w:r>
              <w:rPr>
                <w:b/>
              </w:rPr>
              <w:t>4.5</w:t>
            </w:r>
          </w:p>
        </w:tc>
        <w:tc>
          <w:tcPr>
            <w:tcW w:w="290" w:type="dxa"/>
            <w:tcBorders/>
            <w:vAlign w:val="center"/>
          </w:tcPr>
          <w:p>
            <w:pPr>
              <w:pStyle w:val="TableContents"/>
              <w:bidi w:val="0"/>
              <w:spacing w:before="0" w:after="283"/>
              <w:jc w:val="left"/>
              <w:rPr>
                <w:b/>
              </w:rPr>
            </w:pPr>
            <w:r>
              <w:rPr>
                <w:b/>
              </w:rPr>
              <w:t>%</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Right-of-use assets obtained in exchange for new operating lease liabilities were $24 million for fiscal 2025.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i/>
          <w:color w:val="000000"/>
          <w:sz w:val="18"/>
          <w:bdr w:val="single" w:sz="2" w:space="1" w:color="000000"/>
        </w:rPr>
        <w:t>Litigation</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The Company is party to various legal proceedings involving routine claims which are incidental to its business.  Although the Company’s legal and financial liability with respect to such proceedings cannot be estimated with certainty, the Company believes that any ultimate liability would not be material to its Consolidated and Combined Balance Sheet, Statements of Operations, or Cash Flows.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i/>
          <w:color w:val="000000"/>
          <w:sz w:val="18"/>
          <w:bdr w:val="single" w:sz="2" w:space="1" w:color="000000"/>
        </w:rPr>
        <w:t>Environmental Claims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Over the next 30 years, we are primarily responsible for the reimbursement of government oversight costs associated with certain environmental claims regarding the Fox River located in Wisconsin. At September 27, 2025, the outstanding balance of the environmental liability and corresponding escrow asset was $18 million and $9 million, respectively.</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i/>
          <w:color w:val="000000"/>
          <w:sz w:val="18"/>
          <w:bdr w:val="single" w:sz="2" w:space="1" w:color="000000"/>
        </w:rPr>
        <w:t>Tax Claims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As part of a previous acquisition, the Company acquired a liability related to certain tax claims. Depending on the resolution of the tax claim, the final settlement calculated as of September 27, 2025 will range between $40 million and $59 million with an eventual payment to the Brazilian government and/or the selling stockholders of the previous acquisition.  The Company has recorded an estimated tax liability on the Consolidated and Combined Balance Sheets in Other long-term liabilities as the settlement of existing and potential claims is expected to be greater than one year. </w:t>
      </w:r>
    </w:p>
    <w:p>
      <w:pPr>
        <w:pStyle w:val="TextBody"/>
        <w:bidi w:val="0"/>
        <w:spacing w:lineRule="atLeast" w:line="243"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24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b/>
          <w:sz w:val="18"/>
          <w:bdr w:val="single" w:sz="2" w:space="1" w:color="000000"/>
        </w:rPr>
      </w:pPr>
      <w:r>
        <w:rPr>
          <w:rFonts w:ascii="Times New Roman" w:hAnsi="Times New Roman"/>
          <w:b/>
          <w:sz w:val="18"/>
          <w:bdr w:val="single" w:sz="2" w:space="1" w:color="000000"/>
        </w:rPr>
        <w:t>6.  Income Taxes</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Company is being taxed at the U.S. corporate level as a C-Corporation and has provided for U.S. Federal, State and foreign income taxes.  Significant components of income tax expense for the fiscal years ended are as follows: </w:t>
      </w:r>
    </w:p>
    <w:p>
      <w:pPr>
        <w:pStyle w:val="TextBody"/>
        <w:bidi w:val="0"/>
        <w:spacing w:before="0" w:after="0"/>
        <w:jc w:val="both"/>
        <w:rPr>
          <w:bdr w:val="single" w:sz="2" w:space="1" w:color="000000"/>
        </w:rPr>
      </w:pPr>
      <w:r>
        <w:rPr>
          <w:bdr w:val="single" w:sz="2" w:space="1" w:color="000000"/>
        </w:rPr>
        <w:t xml:space="preserve">  </w:t>
      </w:r>
    </w:p>
    <w:tbl>
      <w:tblPr>
        <w:tblW w:w="6230" w:type="dxa"/>
        <w:jc w:val="left"/>
        <w:tblInd w:w="0" w:type="dxa"/>
        <w:tblLayout w:type="fixed"/>
        <w:tblCellMar>
          <w:top w:w="0" w:type="dxa"/>
          <w:left w:w="0" w:type="dxa"/>
          <w:bottom w:w="0" w:type="dxa"/>
          <w:right w:w="0" w:type="dxa"/>
        </w:tblCellMar>
      </w:tblPr>
      <w:tblGrid>
        <w:gridCol w:w="3350"/>
        <w:gridCol w:w="170"/>
        <w:gridCol w:w="530"/>
        <w:gridCol w:w="185"/>
        <w:gridCol w:w="90"/>
        <w:gridCol w:w="170"/>
        <w:gridCol w:w="530"/>
        <w:gridCol w:w="185"/>
        <w:gridCol w:w="90"/>
        <w:gridCol w:w="170"/>
        <w:gridCol w:w="530"/>
        <w:gridCol w:w="230"/>
      </w:tblGrid>
      <w:tr>
        <w:trPr/>
        <w:tc>
          <w:tcPr>
            <w:tcW w:w="33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2023</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Current</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U.S.</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Federal</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b/>
              </w:rPr>
            </w:pPr>
            <w:r>
              <w:rPr>
                <w:b/>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12</w:t>
            </w:r>
          </w:p>
        </w:tc>
        <w:tc>
          <w:tcPr>
            <w:tcW w:w="23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State</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Non-U.S.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b/>
              </w:rPr>
            </w:pPr>
            <w:r>
              <w:rPr>
                <w:b/>
              </w:rPr>
              <w:t>16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19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30</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Total current</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43</w:t>
            </w:r>
          </w:p>
        </w:tc>
        <w:tc>
          <w:tcPr>
            <w:tcW w:w="23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Deferred:</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U.S.</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Federal</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(5</w:t>
            </w:r>
          </w:p>
        </w:tc>
        <w:tc>
          <w:tcPr>
            <w:tcW w:w="23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State</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(2</w:t>
            </w:r>
          </w:p>
        </w:tc>
        <w:tc>
          <w:tcPr>
            <w:tcW w:w="23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Non-U.S.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b/>
              </w:rPr>
            </w:pPr>
            <w:r>
              <w:rPr>
                <w:b/>
              </w:rPr>
              <w:t>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Total deferred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b/>
              </w:rPr>
            </w:pPr>
            <w:r>
              <w:rPr>
                <w:b/>
              </w:rPr>
              <w:t>(27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(9</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Expense (benefit) for income taxes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tcMar>
              <w:bottom w:w="28" w:type="dxa"/>
            </w:tcMar>
            <w:vAlign w:val="center"/>
          </w:tcPr>
          <w:p>
            <w:pPr>
              <w:pStyle w:val="TableContents"/>
              <w:bidi w:val="0"/>
              <w:spacing w:before="0" w:after="283"/>
              <w:jc w:val="right"/>
              <w:rPr>
                <w:b/>
              </w:rPr>
            </w:pPr>
            <w:r>
              <w:rPr>
                <w:b/>
              </w:rPr>
              <w:t>(7</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tcMar>
              <w:bottom w:w="28" w:type="dxa"/>
            </w:tcMar>
            <w:vAlign w:val="center"/>
          </w:tcPr>
          <w:p>
            <w:pPr>
              <w:pStyle w:val="TableContents"/>
              <w:bidi w:val="0"/>
              <w:spacing w:before="0" w:after="283"/>
              <w:jc w:val="right"/>
              <w:rPr/>
            </w:pPr>
            <w:r>
              <w:rPr/>
              <w:t>19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tcMar>
              <w:bottom w:w="28" w:type="dxa"/>
            </w:tcMar>
            <w:vAlign w:val="center"/>
          </w:tcPr>
          <w:p>
            <w:pPr>
              <w:pStyle w:val="TableContents"/>
              <w:bidi w:val="0"/>
              <w:spacing w:before="0" w:after="283"/>
              <w:jc w:val="right"/>
              <w:rPr/>
            </w:pPr>
            <w:r>
              <w:rPr/>
              <w:t>34</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U.S. income before income taxes was $(186) million, $18 million, and $15 million for fiscal years 2025, 2024, and 2023, respectively.  Non-U.S. income before income taxes was $20 million, $(153) million, and $57 million for fiscal years 2025, 2024, and 2023, respectively. The Company paid cash taxes of $22 million, $9 million, and $29 million in fiscal years 2025, 2024, and 2023, respectively.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reconciliation between U.S. Federal income tax expense at the statutory rate and the Company’s expense for income taxes for fiscal years ended are as follows: </w:t>
      </w:r>
    </w:p>
    <w:p>
      <w:pPr>
        <w:pStyle w:val="TextBody"/>
        <w:bidi w:val="0"/>
        <w:spacing w:before="0" w:after="0"/>
        <w:jc w:val="left"/>
        <w:rPr>
          <w:bdr w:val="single" w:sz="2" w:space="1" w:color="000000"/>
        </w:rPr>
      </w:pPr>
      <w:r>
        <w:rPr>
          <w:bdr w:val="single" w:sz="2" w:space="1" w:color="000000"/>
        </w:rPr>
        <w:t> </w:t>
      </w:r>
    </w:p>
    <w:tbl>
      <w:tblPr>
        <w:tblW w:w="8765" w:type="dxa"/>
        <w:jc w:val="left"/>
        <w:tblInd w:w="0" w:type="dxa"/>
        <w:tblLayout w:type="fixed"/>
        <w:tblCellMar>
          <w:top w:w="0" w:type="dxa"/>
          <w:left w:w="0" w:type="dxa"/>
          <w:bottom w:w="0" w:type="dxa"/>
          <w:right w:w="0" w:type="dxa"/>
        </w:tblCellMar>
      </w:tblPr>
      <w:tblGrid>
        <w:gridCol w:w="5885"/>
        <w:gridCol w:w="170"/>
        <w:gridCol w:w="530"/>
        <w:gridCol w:w="185"/>
        <w:gridCol w:w="90"/>
        <w:gridCol w:w="170"/>
        <w:gridCol w:w="530"/>
        <w:gridCol w:w="185"/>
        <w:gridCol w:w="90"/>
        <w:gridCol w:w="170"/>
        <w:gridCol w:w="530"/>
        <w:gridCol w:w="230"/>
      </w:tblGrid>
      <w:tr>
        <w:trPr/>
        <w:tc>
          <w:tcPr>
            <w:tcW w:w="58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center"/>
              <w:rPr>
                <w:b/>
              </w:rPr>
            </w:pPr>
            <w:r>
              <w:rPr>
                <w:b/>
              </w:rPr>
              <w:t>2025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center"/>
              <w:rPr/>
            </w:pPr>
            <w:r>
              <w:rPr/>
              <w:t>2024</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center"/>
              <w:rPr/>
            </w:pPr>
            <w:r>
              <w:rPr/>
              <w:t>2023</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U.S. Federal income tax expense (benefit) at the statutory rate</w:t>
            </w:r>
          </w:p>
        </w:tc>
        <w:tc>
          <w:tcPr>
            <w:tcW w:w="170" w:type="dxa"/>
            <w:tcBorders>
              <w:top w:val="single" w:sz="2" w:space="0" w:color="000000"/>
            </w:tcBorders>
            <w:tcMar>
              <w:top w:w="28" w:type="dxa"/>
            </w:tcMar>
            <w:vAlign w:val="center"/>
          </w:tcPr>
          <w:p>
            <w:pPr>
              <w:pStyle w:val="TableContents"/>
              <w:bidi w:val="0"/>
              <w:spacing w:before="0" w:after="283"/>
              <w:jc w:val="left"/>
              <w:rPr>
                <w:b/>
              </w:rPr>
            </w:pPr>
            <w:r>
              <w:rPr>
                <w:b/>
              </w:rPr>
              <w:t>$</w:t>
            </w:r>
          </w:p>
        </w:tc>
        <w:tc>
          <w:tcPr>
            <w:tcW w:w="530" w:type="dxa"/>
            <w:tcBorders>
              <w:top w:val="single" w:sz="2" w:space="0" w:color="000000"/>
            </w:tcBorders>
            <w:tcMar>
              <w:top w:w="28" w:type="dxa"/>
            </w:tcMar>
            <w:vAlign w:val="center"/>
          </w:tcPr>
          <w:p>
            <w:pPr>
              <w:pStyle w:val="TableContents"/>
              <w:bidi w:val="0"/>
              <w:spacing w:before="0" w:after="283"/>
              <w:jc w:val="right"/>
              <w:rPr>
                <w:b/>
              </w:rPr>
            </w:pPr>
            <w:r>
              <w:rPr>
                <w:b/>
              </w:rPr>
              <w:t>(35</w:t>
            </w:r>
          </w:p>
        </w:tc>
        <w:tc>
          <w:tcPr>
            <w:tcW w:w="185" w:type="dxa"/>
            <w:tcBorders>
              <w:top w:val="single" w:sz="2" w:space="0" w:color="000000"/>
            </w:tcBorders>
            <w:tcMar>
              <w:top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tcBorders>
            <w:tcMar>
              <w:top w:w="28" w:type="dxa"/>
            </w:tcMar>
            <w:vAlign w:val="center"/>
          </w:tcPr>
          <w:p>
            <w:pPr>
              <w:pStyle w:val="TableContents"/>
              <w:bidi w:val="0"/>
              <w:spacing w:before="0" w:after="283"/>
              <w:jc w:val="left"/>
              <w:rPr/>
            </w:pPr>
            <w:r>
              <w:rPr/>
              <w:t>$</w:t>
            </w:r>
          </w:p>
        </w:tc>
        <w:tc>
          <w:tcPr>
            <w:tcW w:w="530" w:type="dxa"/>
            <w:tcBorders>
              <w:top w:val="single" w:sz="2" w:space="0" w:color="000000"/>
            </w:tcBorders>
            <w:tcMar>
              <w:top w:w="28" w:type="dxa"/>
            </w:tcMar>
            <w:vAlign w:val="center"/>
          </w:tcPr>
          <w:p>
            <w:pPr>
              <w:pStyle w:val="TableContents"/>
              <w:bidi w:val="0"/>
              <w:spacing w:before="0" w:after="283"/>
              <w:jc w:val="right"/>
              <w:rPr/>
            </w:pPr>
            <w:r>
              <w:rPr/>
              <w:t>(28</w:t>
            </w:r>
          </w:p>
        </w:tc>
        <w:tc>
          <w:tcPr>
            <w:tcW w:w="185" w:type="dxa"/>
            <w:tcBorders>
              <w:top w:val="single" w:sz="2"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tcBorders>
            <w:tcMar>
              <w:top w:w="28" w:type="dxa"/>
            </w:tcMar>
            <w:vAlign w:val="center"/>
          </w:tcPr>
          <w:p>
            <w:pPr>
              <w:pStyle w:val="TableContents"/>
              <w:bidi w:val="0"/>
              <w:spacing w:before="0" w:after="283"/>
              <w:jc w:val="left"/>
              <w:rPr/>
            </w:pPr>
            <w:r>
              <w:rPr/>
              <w:t>$</w:t>
            </w:r>
          </w:p>
        </w:tc>
        <w:tc>
          <w:tcPr>
            <w:tcW w:w="530" w:type="dxa"/>
            <w:tcBorders>
              <w:top w:val="single" w:sz="2" w:space="0" w:color="000000"/>
            </w:tcBorders>
            <w:tcMar>
              <w:top w:w="28" w:type="dxa"/>
            </w:tcMar>
            <w:vAlign w:val="center"/>
          </w:tcPr>
          <w:p>
            <w:pPr>
              <w:pStyle w:val="TableContents"/>
              <w:bidi w:val="0"/>
              <w:spacing w:before="0" w:after="283"/>
              <w:jc w:val="right"/>
              <w:rPr/>
            </w:pPr>
            <w:r>
              <w:rPr/>
              <w:t>15</w:t>
            </w:r>
          </w:p>
        </w:tc>
        <w:tc>
          <w:tcPr>
            <w:tcW w:w="230" w:type="dxa"/>
            <w:tcBorders>
              <w:top w:val="single" w:sz="2" w:space="0" w:color="000000"/>
            </w:tcBorders>
            <w:tcMar>
              <w:top w:w="28" w:type="dxa"/>
            </w:tcM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Adjustments to reconcile to the income tax provision:</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U.S. state income tax expense</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(3</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Federal and state credits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(1</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Share-based compensation</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Withholding taxes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(1</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6</w:t>
            </w:r>
          </w:p>
        </w:tc>
        <w:tc>
          <w:tcPr>
            <w:tcW w:w="23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Changes in valuation allowance</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5</w:t>
            </w:r>
          </w:p>
        </w:tc>
        <w:tc>
          <w:tcPr>
            <w:tcW w:w="23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Foreign income taxed in the U.S.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Brazil ICMS rate reduction</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(2</w:t>
            </w:r>
          </w:p>
        </w:tc>
        <w:tc>
          <w:tcPr>
            <w:tcW w:w="23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Foreign operations, inclusive of rate differential</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(7</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3</w:t>
            </w:r>
          </w:p>
        </w:tc>
        <w:tc>
          <w:tcPr>
            <w:tcW w:w="23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Uncertain tax positions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2</w:t>
            </w:r>
          </w:p>
        </w:tc>
        <w:tc>
          <w:tcPr>
            <w:tcW w:w="23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Goodwill impairment</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44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Other</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b/>
              </w:rPr>
            </w:pPr>
            <w:r>
              <w:rPr>
                <w:b/>
              </w:rPr>
              <w:t>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5</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Expense (benefit) for income taxes</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530" w:type="dxa"/>
            <w:tcBorders>
              <w:bottom w:val="double" w:sz="6" w:space="0" w:color="000000"/>
            </w:tcBorders>
            <w:tcMar>
              <w:bottom w:w="28" w:type="dxa"/>
            </w:tcMar>
            <w:vAlign w:val="center"/>
          </w:tcPr>
          <w:p>
            <w:pPr>
              <w:pStyle w:val="TableContents"/>
              <w:bidi w:val="0"/>
              <w:spacing w:before="0" w:after="283"/>
              <w:jc w:val="right"/>
              <w:rPr>
                <w:b/>
              </w:rPr>
            </w:pPr>
            <w:r>
              <w:rPr>
                <w:b/>
              </w:rPr>
              <w:t>(7</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tcMar>
              <w:bottom w:w="28" w:type="dxa"/>
            </w:tcMar>
            <w:vAlign w:val="center"/>
          </w:tcPr>
          <w:p>
            <w:pPr>
              <w:pStyle w:val="TableContents"/>
              <w:bidi w:val="0"/>
              <w:spacing w:before="0" w:after="283"/>
              <w:jc w:val="right"/>
              <w:rPr/>
            </w:pPr>
            <w:r>
              <w:rPr/>
              <w:t>19</w:t>
            </w:r>
          </w:p>
        </w:tc>
        <w:tc>
          <w:tcPr>
            <w:tcW w:w="185"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tcMar>
              <w:bottom w:w="28" w:type="dxa"/>
            </w:tcMar>
            <w:vAlign w:val="center"/>
          </w:tcPr>
          <w:p>
            <w:pPr>
              <w:pStyle w:val="TableContents"/>
              <w:bidi w:val="0"/>
              <w:spacing w:before="0" w:after="283"/>
              <w:jc w:val="right"/>
              <w:rPr/>
            </w:pPr>
            <w:r>
              <w:rPr/>
              <w:t>34</w:t>
            </w:r>
          </w:p>
        </w:tc>
        <w:tc>
          <w:tcPr>
            <w:tcW w:w="230"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25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Deferred income taxes result from temporary differences between the amount of assets and liabilities recognized for financial reporting and tax purposes.  The components of the net deferred income tax liability as of fiscal years ended are as follows: </w:t>
      </w:r>
    </w:p>
    <w:p>
      <w:pPr>
        <w:pStyle w:val="TextBody"/>
        <w:bidi w:val="0"/>
        <w:spacing w:before="0" w:after="0"/>
        <w:jc w:val="left"/>
        <w:rPr>
          <w:bdr w:val="single" w:sz="2" w:space="1" w:color="000000"/>
        </w:rPr>
      </w:pPr>
      <w:r>
        <w:rPr>
          <w:bdr w:val="single" w:sz="2" w:space="1" w:color="000000"/>
        </w:rPr>
        <w:t> </w:t>
      </w:r>
    </w:p>
    <w:tbl>
      <w:tblPr>
        <w:tblW w:w="7055" w:type="dxa"/>
        <w:jc w:val="left"/>
        <w:tblInd w:w="0" w:type="dxa"/>
        <w:tblLayout w:type="fixed"/>
        <w:tblCellMar>
          <w:top w:w="0" w:type="dxa"/>
          <w:left w:w="0" w:type="dxa"/>
          <w:bottom w:w="0" w:type="dxa"/>
          <w:right w:w="0" w:type="dxa"/>
        </w:tblCellMar>
      </w:tblPr>
      <w:tblGrid>
        <w:gridCol w:w="5150"/>
        <w:gridCol w:w="170"/>
        <w:gridCol w:w="530"/>
        <w:gridCol w:w="185"/>
        <w:gridCol w:w="90"/>
        <w:gridCol w:w="170"/>
        <w:gridCol w:w="530"/>
        <w:gridCol w:w="230"/>
      </w:tblGrid>
      <w:tr>
        <w:trPr/>
        <w:tc>
          <w:tcPr>
            <w:tcW w:w="51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pPr>
            <w:r>
              <w:rPr/>
              <w:t>Deferred tax assets:</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pPr>
            <w:r>
              <w:rPr/>
              <w:t>Accrued liabilities and reserves</w:t>
            </w:r>
          </w:p>
        </w:tc>
        <w:tc>
          <w:tcPr>
            <w:tcW w:w="170" w:type="dxa"/>
            <w:tcBorders/>
            <w:vAlign w:val="center"/>
          </w:tcPr>
          <w:p>
            <w:pPr>
              <w:pStyle w:val="TableContents"/>
              <w:bidi w:val="0"/>
              <w:spacing w:before="0" w:after="283"/>
              <w:jc w:val="left"/>
              <w:rPr>
                <w:b/>
              </w:rPr>
            </w:pPr>
            <w:r>
              <w:rPr>
                <w:b/>
              </w:rPr>
              <w:t>$</w:t>
            </w:r>
          </w:p>
        </w:tc>
        <w:tc>
          <w:tcPr>
            <w:tcW w:w="530" w:type="dxa"/>
            <w:tcBorders/>
            <w:vAlign w:val="center"/>
          </w:tcPr>
          <w:p>
            <w:pPr>
              <w:pStyle w:val="TableContents"/>
              <w:bidi w:val="0"/>
              <w:spacing w:before="0" w:after="283"/>
              <w:jc w:val="right"/>
              <w:rPr>
                <w:b/>
              </w:rPr>
            </w:pPr>
            <w:r>
              <w:rPr>
                <w:b/>
              </w:rPr>
              <w:t>6</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7</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Inventories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22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3</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Net operating loss carryforwards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250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103</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Lease liability</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12</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Foreign tax credit carryforwards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19</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Capitalization research and development expenditures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9</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Hedges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Interest limitation carryforwards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Other</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3</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Total deferred tax assets</w:t>
            </w:r>
          </w:p>
        </w:tc>
        <w:tc>
          <w:tcPr>
            <w:tcW w:w="170" w:type="dxa"/>
            <w:tcBorders>
              <w:top w:val="single" w:sz="2" w:space="0" w:color="000000"/>
            </w:tcBorders>
            <w:tcMar>
              <w:top w:w="28" w:type="dxa"/>
            </w:tcMar>
            <w:vAlign w:val="center"/>
          </w:tcPr>
          <w:p>
            <w:pPr>
              <w:pStyle w:val="TableContents"/>
              <w:bidi w:val="0"/>
              <w:spacing w:before="0" w:after="283"/>
              <w:jc w:val="left"/>
              <w:rPr/>
            </w:pPr>
            <w:r>
              <w:rPr/>
              <w:t> </w:t>
            </w:r>
          </w:p>
        </w:tc>
        <w:tc>
          <w:tcPr>
            <w:tcW w:w="530" w:type="dxa"/>
            <w:tcBorders>
              <w:top w:val="single" w:sz="2" w:space="0" w:color="000000"/>
            </w:tcBorders>
            <w:tcMar>
              <w:top w:w="28" w:type="dxa"/>
            </w:tcMar>
            <w:vAlign w:val="center"/>
          </w:tcPr>
          <w:p>
            <w:pPr>
              <w:pStyle w:val="TableContents"/>
              <w:bidi w:val="0"/>
              <w:spacing w:before="0" w:after="283"/>
              <w:jc w:val="right"/>
              <w:rPr>
                <w:b/>
              </w:rPr>
            </w:pPr>
            <w:r>
              <w:rPr>
                <w:b/>
              </w:rPr>
              <w:t>437</w:t>
            </w:r>
          </w:p>
        </w:tc>
        <w:tc>
          <w:tcPr>
            <w:tcW w:w="185" w:type="dxa"/>
            <w:tcBorders>
              <w:top w:val="single" w:sz="2"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tcBorders>
            <w:tcMar>
              <w:top w:w="28" w:type="dxa"/>
            </w:tcMar>
            <w:vAlign w:val="center"/>
          </w:tcPr>
          <w:p>
            <w:pPr>
              <w:pStyle w:val="TableContents"/>
              <w:bidi w:val="0"/>
              <w:spacing w:before="0" w:after="283"/>
              <w:jc w:val="left"/>
              <w:rPr/>
            </w:pPr>
            <w:r>
              <w:rPr/>
              <w:t> </w:t>
            </w:r>
          </w:p>
        </w:tc>
        <w:tc>
          <w:tcPr>
            <w:tcW w:w="530" w:type="dxa"/>
            <w:tcBorders>
              <w:top w:val="single" w:sz="2" w:space="0" w:color="000000"/>
            </w:tcBorders>
            <w:tcMar>
              <w:top w:w="28" w:type="dxa"/>
            </w:tcMar>
            <w:vAlign w:val="center"/>
          </w:tcPr>
          <w:p>
            <w:pPr>
              <w:pStyle w:val="TableContents"/>
              <w:bidi w:val="0"/>
              <w:spacing w:before="0" w:after="283"/>
              <w:jc w:val="right"/>
              <w:rPr/>
            </w:pPr>
            <w:r>
              <w:rPr/>
              <w:t>156</w:t>
            </w:r>
          </w:p>
        </w:tc>
        <w:tc>
          <w:tcPr>
            <w:tcW w:w="230" w:type="dxa"/>
            <w:tcBorders>
              <w:top w:val="single" w:sz="2" w:space="0" w:color="000000"/>
            </w:tcBorders>
            <w:tcMar>
              <w:top w:w="28" w:type="dxa"/>
            </w:tcM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Valuation allowance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b/>
              </w:rPr>
            </w:pPr>
            <w:r>
              <w:rPr>
                <w:b/>
              </w:rPr>
              <w:t>(199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(36</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Total deferred tax assets, net of valuation allowance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b/>
              </w:rPr>
            </w:pPr>
            <w:r>
              <w:rPr>
                <w:b/>
              </w:rPr>
              <w:t>238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120</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Deferred tax liabilities:</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pPr>
            <w:r>
              <w:rPr/>
              <w:t>Property, plant and equipment</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139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68</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Intangible assets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50</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Leased asset</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12</w:t>
            </w:r>
          </w:p>
        </w:tc>
        <w:tc>
          <w:tcPr>
            <w:tcW w:w="23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Other</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b/>
              </w:rPr>
            </w:pPr>
            <w:r>
              <w:rPr>
                <w:b/>
              </w:rPr>
              <w:t>21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11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Total deferred tax liabilities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b/>
              </w:rPr>
            </w:pPr>
            <w:r>
              <w:rPr>
                <w:b/>
              </w:rPr>
              <w:t>208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141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Net deferred tax asset (liability)</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30" w:type="dxa"/>
            <w:tcBorders>
              <w:bottom w:val="double" w:sz="6" w:space="0" w:color="000000"/>
            </w:tcBorders>
            <w:tcMar>
              <w:bottom w:w="28" w:type="dxa"/>
            </w:tcMar>
            <w:vAlign w:val="center"/>
          </w:tcPr>
          <w:p>
            <w:pPr>
              <w:pStyle w:val="TableContents"/>
              <w:bidi w:val="0"/>
              <w:spacing w:before="0" w:after="283"/>
              <w:jc w:val="right"/>
              <w:rPr>
                <w:b/>
              </w:rPr>
            </w:pPr>
            <w:r>
              <w:rPr>
                <w:b/>
              </w:rPr>
              <w:t>30</w:t>
            </w:r>
          </w:p>
        </w:tc>
        <w:tc>
          <w:tcPr>
            <w:tcW w:w="185"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tcMar>
              <w:bottom w:w="28" w:type="dxa"/>
            </w:tcMar>
            <w:vAlign w:val="center"/>
          </w:tcPr>
          <w:p>
            <w:pPr>
              <w:pStyle w:val="TableContents"/>
              <w:bidi w:val="0"/>
              <w:spacing w:before="0" w:after="283"/>
              <w:jc w:val="right"/>
              <w:rPr/>
            </w:pPr>
            <w:r>
              <w:rPr/>
              <w:t>(21</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Company had $76 million and $57 million of net deferred tax assets recorded in Other assets, and $46 million and $78 million of net deferred tax liabilities recorded in Deferred income taxes on the Consolidated and Combined Balance Sheets as of the fiscal years ended 2025 and 2024, respectively.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As of September 27, 2025, the Company has recorded deferred tax assets related to federal, state, and foreign net operating losses, interest, and tax credits. These attributes are spread across multiple jurisdictions and generally have expiration periods beginning in 2025 while a portion remains available indefinitely. Each attribute has been assessed for realization and a valuation allowance is recorded against the deferred tax assets to bring the net amount recorded to the amount more likely than not to be realized.  The valuation allowance against deferred tax assets was $199 million and $36 million as of the fiscal years ended 2025 and 2024, respectively, related to the foreign and U.S. federal and state operations.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Company is permanently reinvested except to the extent the foreign earnings are previously taxed or to the extent that we have sufficient basis in our non-U.S. subsidiaries to repatriate earnings on an income tax free basis.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i/>
          <w:sz w:val="18"/>
          <w:bdr w:val="single" w:sz="2" w:space="1" w:color="000000"/>
        </w:rPr>
        <w:t>Uncertain Tax Positions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following table summarizes the activity related to our gross unrecognized tax benefits for fiscal years ended: </w:t>
      </w:r>
    </w:p>
    <w:p>
      <w:pPr>
        <w:pStyle w:val="TextBody"/>
        <w:bidi w:val="0"/>
        <w:spacing w:before="0" w:after="0"/>
        <w:jc w:val="left"/>
        <w:rPr>
          <w:bdr w:val="single" w:sz="2" w:space="1" w:color="000000"/>
        </w:rPr>
      </w:pPr>
      <w:r>
        <w:rPr>
          <w:bdr w:val="single" w:sz="2" w:space="1" w:color="000000"/>
        </w:rPr>
        <w:t> </w:t>
      </w:r>
    </w:p>
    <w:tbl>
      <w:tblPr>
        <w:tblW w:w="6365" w:type="dxa"/>
        <w:jc w:val="left"/>
        <w:tblInd w:w="0" w:type="dxa"/>
        <w:tblLayout w:type="fixed"/>
        <w:tblCellMar>
          <w:top w:w="0" w:type="dxa"/>
          <w:left w:w="0" w:type="dxa"/>
          <w:bottom w:w="0" w:type="dxa"/>
          <w:right w:w="0" w:type="dxa"/>
        </w:tblCellMar>
      </w:tblPr>
      <w:tblGrid>
        <w:gridCol w:w="4460"/>
        <w:gridCol w:w="170"/>
        <w:gridCol w:w="530"/>
        <w:gridCol w:w="185"/>
        <w:gridCol w:w="90"/>
        <w:gridCol w:w="170"/>
        <w:gridCol w:w="530"/>
        <w:gridCol w:w="230"/>
      </w:tblGrid>
      <w:tr>
        <w:trPr/>
        <w:tc>
          <w:tcPr>
            <w:tcW w:w="44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46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460" w:type="dxa"/>
            <w:tcBorders/>
            <w:vAlign w:val="center"/>
          </w:tcPr>
          <w:p>
            <w:pPr>
              <w:pStyle w:val="TableContents"/>
              <w:bidi w:val="0"/>
              <w:spacing w:before="0" w:after="283"/>
              <w:jc w:val="left"/>
              <w:rPr/>
            </w:pPr>
            <w:r>
              <w:rPr/>
              <w:t>Beginning unrecognized tax benefits</w:t>
            </w:r>
          </w:p>
        </w:tc>
        <w:tc>
          <w:tcPr>
            <w:tcW w:w="170" w:type="dxa"/>
            <w:tcBorders/>
            <w:vAlign w:val="center"/>
          </w:tcPr>
          <w:p>
            <w:pPr>
              <w:pStyle w:val="TableContents"/>
              <w:bidi w:val="0"/>
              <w:spacing w:before="0" w:after="283"/>
              <w:jc w:val="left"/>
              <w:rPr>
                <w:b/>
              </w:rPr>
            </w:pPr>
            <w:r>
              <w:rPr>
                <w:b/>
              </w:rPr>
              <w:t>$</w:t>
            </w:r>
          </w:p>
        </w:tc>
        <w:tc>
          <w:tcPr>
            <w:tcW w:w="530" w:type="dxa"/>
            <w:tcBorders/>
            <w:vAlign w:val="center"/>
          </w:tcPr>
          <w:p>
            <w:pPr>
              <w:pStyle w:val="TableContents"/>
              <w:bidi w:val="0"/>
              <w:spacing w:before="0" w:after="283"/>
              <w:jc w:val="right"/>
              <w:rPr>
                <w:b/>
              </w:rPr>
            </w:pPr>
            <w:r>
              <w:rPr>
                <w:b/>
              </w:rPr>
              <w:t>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17</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Penalties and interest</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Increases recognized through acquisition</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Gross increases – tax positions in prior periods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2</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Gross increases – current period tax positions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Settlements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Lapse of statute of limitations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b/>
              </w:rPr>
            </w:pPr>
            <w:r>
              <w:rPr>
                <w:b/>
              </w:rPr>
              <w:t>(8</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(6</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Ending unrecognized tax benefits</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30" w:type="dxa"/>
            <w:tcBorders>
              <w:bottom w:val="double" w:sz="6" w:space="0" w:color="000000"/>
            </w:tcBorders>
            <w:tcMar>
              <w:bottom w:w="28" w:type="dxa"/>
            </w:tcMar>
            <w:vAlign w:val="center"/>
          </w:tcPr>
          <w:p>
            <w:pPr>
              <w:pStyle w:val="TableContents"/>
              <w:bidi w:val="0"/>
              <w:spacing w:before="0" w:after="283"/>
              <w:jc w:val="right"/>
              <w:rPr>
                <w:b/>
              </w:rPr>
            </w:pPr>
            <w:r>
              <w:rPr>
                <w:b/>
              </w:rPr>
              <w:t>45</w:t>
            </w:r>
          </w:p>
        </w:tc>
        <w:tc>
          <w:tcPr>
            <w:tcW w:w="185"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tcMar>
              <w:bottom w:w="28" w:type="dxa"/>
            </w:tcMar>
            <w:vAlign w:val="center"/>
          </w:tcPr>
          <w:p>
            <w:pPr>
              <w:pStyle w:val="TableContents"/>
              <w:bidi w:val="0"/>
              <w:spacing w:before="0" w:after="283"/>
              <w:jc w:val="right"/>
              <w:rPr/>
            </w:pPr>
            <w:r>
              <w:rPr/>
              <w:t>12</w:t>
            </w:r>
          </w:p>
        </w:tc>
        <w:tc>
          <w:tcPr>
            <w:tcW w:w="230"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As of fiscal year end 2025, the amount of unrecognized tax benefit that, if recognized, would affect our effective tax rate was $45 million and we had $11 million accrued for payment of interest and penalties related to our uncertain tax positions.  Our penalties and interest related to uncertain tax positions are included in income tax expense.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As a result of global operations, we file income tax returns in the U.S. federal, various state and local, and foreign jurisdictions and are routinely subject to examination by taxing authorities throughout the world.  Excluding potential adjustments to net operating losses, the U.S. federal and state income tax returns are no longer subject to income tax assessments for years before 2021.  With few exceptions, the major foreign jurisdictions are no longer subject to income tax assessments for years before 2017.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On July 4, 2025, the One Big Beautiful Bill Act (the “Act”) was enacted. The Act provides for several corporate tax changes including, but not limited to, restoring full expensing of domestic research and development costs, restoring immediate deductibility of certain capital expenditures, and changes in the computation of U.S. taxation on international earnings. The impact the Act had on our business was immaterial.  </w:t>
      </w:r>
    </w:p>
    <w:p>
      <w:pPr>
        <w:pStyle w:val="TextBody"/>
        <w:bidi w:val="0"/>
        <w:spacing w:lineRule="atLeast" w:line="243"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26</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b/>
          <w:sz w:val="18"/>
          <w:bdr w:val="single" w:sz="2" w:space="1" w:color="000000"/>
        </w:rPr>
      </w:pPr>
      <w:r>
        <w:rPr>
          <w:rFonts w:ascii="Times New Roman" w:hAnsi="Times New Roman"/>
          <w:b/>
          <w:sz w:val="18"/>
          <w:bdr w:val="single" w:sz="2" w:space="1" w:color="000000"/>
        </w:rPr>
        <w:t>7. Retirement Plans</w:t>
      </w:r>
    </w:p>
    <w:p>
      <w:pPr>
        <w:pStyle w:val="TextBody"/>
        <w:bidi w:val="0"/>
        <w:spacing w:lineRule="atLeast" w:line="243" w:before="0" w:after="0"/>
        <w:jc w:val="left"/>
        <w:rPr>
          <w:bdr w:val="single" w:sz="2" w:space="1" w:color="000000"/>
        </w:rPr>
      </w:pPr>
      <w:r>
        <w:rPr>
          <w:bdr w:val="single" w:sz="2" w:space="1" w:color="000000"/>
        </w:rPr>
        <w:t> </w:t>
      </w:r>
    </w:p>
    <w:p>
      <w:pPr>
        <w:pStyle w:val="TextBody"/>
        <w:bidi w:val="0"/>
        <w:spacing w:lineRule="auto" w:line="276" w:before="0" w:after="160"/>
        <w:ind w:left="0" w:right="0" w:hanging="0"/>
        <w:jc w:val="left"/>
        <w:rPr>
          <w:rFonts w:ascii="Times New Roman;serif" w:hAnsi="Times New Roman;serif"/>
          <w:sz w:val="18"/>
          <w:bdr w:val="single" w:sz="2" w:space="1" w:color="000000"/>
        </w:rPr>
      </w:pPr>
      <w:r>
        <w:rPr>
          <w:rFonts w:ascii="Times New Roman;serif" w:hAnsi="Times New Roman;serif"/>
          <w:sz w:val="18"/>
          <w:bdr w:val="single" w:sz="2" w:space="1" w:color="000000"/>
        </w:rPr>
        <w:t xml:space="preserve">The Company has employee benefit plans, all of which are frozen to new participants and existing participants from accruing additional benefits and are unfunded. The following table summarizes the change in the benefit plans for the year ended September 27, 2025 and the projected benefit obligation as of September 27, 2025. </w:t>
      </w:r>
    </w:p>
    <w:tbl>
      <w:tblPr>
        <w:tblW w:w="5210" w:type="dxa"/>
        <w:jc w:val="left"/>
        <w:tblInd w:w="0" w:type="dxa"/>
        <w:tblLayout w:type="fixed"/>
        <w:tblCellMar>
          <w:top w:w="0" w:type="dxa"/>
          <w:left w:w="0" w:type="dxa"/>
          <w:bottom w:w="0" w:type="dxa"/>
          <w:right w:w="0" w:type="dxa"/>
        </w:tblCellMar>
      </w:tblPr>
      <w:tblGrid>
        <w:gridCol w:w="3095"/>
        <w:gridCol w:w="170"/>
        <w:gridCol w:w="1715"/>
        <w:gridCol w:w="230"/>
      </w:tblGrid>
      <w:tr>
        <w:trPr/>
        <w:tc>
          <w:tcPr>
            <w:tcW w:w="30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715" w:type="dxa"/>
            <w:tcBorders>
              <w:bottom w:val="single" w:sz="2" w:space="0" w:color="000000"/>
            </w:tcBorders>
            <w:tcMar>
              <w:bottom w:w="28" w:type="dxa"/>
            </w:tcMar>
            <w:vAlign w:val="center"/>
          </w:tcPr>
          <w:p>
            <w:pPr>
              <w:pStyle w:val="TableContents"/>
              <w:bidi w:val="0"/>
              <w:spacing w:before="0" w:after="283"/>
              <w:jc w:val="center"/>
              <w:rPr>
                <w:b/>
              </w:rPr>
            </w:pPr>
            <w:r>
              <w:rPr>
                <w:b/>
              </w:rPr>
              <w:t>Pension Benefits</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b/>
              </w:rPr>
            </w:pPr>
            <w:r>
              <w:rPr>
                <w:b/>
              </w:rPr>
              <w:t>Change in Benefit Obligation:</w:t>
            </w:r>
          </w:p>
        </w:tc>
        <w:tc>
          <w:tcPr>
            <w:tcW w:w="17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Beginning of period</w:t>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pPr>
            <w:r>
              <w:rPr/>
              <w:t>Acquisition</w:t>
            </w:r>
          </w:p>
        </w:tc>
        <w:tc>
          <w:tcPr>
            <w:tcW w:w="17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right"/>
              <w:rPr>
                <w:b/>
              </w:rPr>
            </w:pPr>
            <w:r>
              <w:rPr>
                <w:b/>
              </w:rPr>
              <w:t>27</w:t>
            </w:r>
          </w:p>
        </w:tc>
        <w:tc>
          <w:tcPr>
            <w:tcW w:w="230" w:type="dxa"/>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pPr>
            <w:r>
              <w:rPr/>
              <w:t>Interest cost</w:t>
            </w:r>
          </w:p>
        </w:tc>
        <w:tc>
          <w:tcPr>
            <w:tcW w:w="17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b/>
              </w:rPr>
            </w:pPr>
            <w:r>
              <w:rPr>
                <w:b/>
              </w:rPr>
              <w:t>1</w:t>
            </w:r>
          </w:p>
        </w:tc>
        <w:tc>
          <w:tcPr>
            <w:tcW w:w="23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Benefits paid</w:t>
            </w:r>
          </w:p>
        </w:tc>
        <w:tc>
          <w:tcPr>
            <w:tcW w:w="17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b/>
              </w:rPr>
            </w:pPr>
            <w:r>
              <w:rPr>
                <w:b/>
              </w:rPr>
              <w:t>(2</w:t>
            </w:r>
          </w:p>
        </w:tc>
        <w:tc>
          <w:tcPr>
            <w:tcW w:w="23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Effect of currency rate changes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715" w:type="dxa"/>
            <w:tcBorders>
              <w:bottom w:val="single" w:sz="2" w:space="0" w:color="000000"/>
            </w:tcBorders>
            <w:tcMar>
              <w:bottom w:w="28" w:type="dxa"/>
            </w:tcMar>
            <w:vAlign w:val="center"/>
          </w:tcPr>
          <w:p>
            <w:pPr>
              <w:pStyle w:val="TableContents"/>
              <w:bidi w:val="0"/>
              <w:spacing w:before="0" w:after="283"/>
              <w:jc w:val="right"/>
              <w:rPr>
                <w:b/>
              </w:rPr>
            </w:pPr>
            <w:r>
              <w:rPr>
                <w:b/>
              </w:rPr>
              <w:t xml:space="preserve">1 </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End of period</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715" w:type="dxa"/>
            <w:tcBorders>
              <w:bottom w:val="double" w:sz="6" w:space="0" w:color="000000"/>
            </w:tcBorders>
            <w:tcMar>
              <w:bottom w:w="28" w:type="dxa"/>
            </w:tcMar>
            <w:vAlign w:val="center"/>
          </w:tcPr>
          <w:p>
            <w:pPr>
              <w:pStyle w:val="TableContents"/>
              <w:bidi w:val="0"/>
              <w:spacing w:before="0" w:after="283"/>
              <w:jc w:val="right"/>
              <w:rPr>
                <w:b/>
              </w:rPr>
            </w:pPr>
            <w:r>
              <w:rPr>
                <w:b/>
              </w:rPr>
              <w:t>27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tLeast" w:line="243" w:before="0" w:after="0"/>
        <w:jc w:val="left"/>
        <w:rPr>
          <w:bdr w:val="single" w:sz="2" w:space="1" w:color="000000"/>
        </w:rPr>
      </w:pPr>
      <w:r>
        <w:rPr>
          <w:bdr w:val="single" w:sz="2" w:space="1" w:color="000000"/>
        </w:rPr>
        <w:t> </w:t>
      </w:r>
    </w:p>
    <w:p>
      <w:pPr>
        <w:pStyle w:val="TextBody"/>
        <w:bidi w:val="0"/>
        <w:spacing w:lineRule="auto" w:line="276" w:before="0" w:after="160"/>
        <w:ind w:left="0" w:right="0" w:hanging="0"/>
        <w:jc w:val="left"/>
        <w:rPr>
          <w:rFonts w:ascii="Times New Roman;serif" w:hAnsi="Times New Roman;serif"/>
          <w:sz w:val="18"/>
          <w:bdr w:val="single" w:sz="2" w:space="1" w:color="000000"/>
        </w:rPr>
      </w:pPr>
      <w:r>
        <w:rPr>
          <w:rFonts w:ascii="Times New Roman;serif" w:hAnsi="Times New Roman;serif"/>
          <w:sz w:val="18"/>
          <w:bdr w:val="single" w:sz="2" w:space="1" w:color="000000"/>
        </w:rPr>
        <w:t>The weighted-average discount rate used in determining the projected benefit obligation at the measurement date for the year was 5.11%. </w:t>
      </w:r>
    </w:p>
    <w:p>
      <w:pPr>
        <w:pStyle w:val="TextBody"/>
        <w:bidi w:val="0"/>
        <w:spacing w:lineRule="auto" w:line="276" w:before="0" w:after="160"/>
        <w:ind w:left="0" w:right="0" w:hanging="0"/>
        <w:jc w:val="left"/>
        <w:rPr>
          <w:rFonts w:ascii="Times New Roman;serif" w:hAnsi="Times New Roman;serif"/>
          <w:sz w:val="18"/>
          <w:bdr w:val="single" w:sz="2" w:space="1" w:color="000000"/>
        </w:rPr>
      </w:pPr>
      <w:r>
        <w:rPr>
          <w:rFonts w:ascii="Times New Roman;serif" w:hAnsi="Times New Roman;serif"/>
          <w:sz w:val="18"/>
          <w:bdr w:val="single" w:sz="2" w:space="1" w:color="000000"/>
        </w:rPr>
        <w:t>As of September 27, 2025, future benefits expected to be paid for the defined-benefit plans are as follows:</w:t>
      </w:r>
    </w:p>
    <w:tbl>
      <w:tblPr>
        <w:tblW w:w="3900" w:type="dxa"/>
        <w:jc w:val="left"/>
        <w:tblInd w:w="0" w:type="dxa"/>
        <w:tblLayout w:type="fixed"/>
        <w:tblCellMar>
          <w:top w:w="0" w:type="dxa"/>
          <w:left w:w="0" w:type="dxa"/>
          <w:bottom w:w="0" w:type="dxa"/>
          <w:right w:w="0" w:type="dxa"/>
        </w:tblCellMar>
      </w:tblPr>
      <w:tblGrid>
        <w:gridCol w:w="1880"/>
        <w:gridCol w:w="170"/>
        <w:gridCol w:w="1715"/>
        <w:gridCol w:w="135"/>
      </w:tblGrid>
      <w:tr>
        <w:trPr/>
        <w:tc>
          <w:tcPr>
            <w:tcW w:w="18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Fiscal year</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715" w:type="dxa"/>
            <w:tcBorders>
              <w:bottom w:val="single" w:sz="2" w:space="0" w:color="000000"/>
            </w:tcBorders>
            <w:tcMar>
              <w:bottom w:w="28" w:type="dxa"/>
            </w:tcMar>
            <w:vAlign w:val="center"/>
          </w:tcPr>
          <w:p>
            <w:pPr>
              <w:pStyle w:val="TableContents"/>
              <w:bidi w:val="0"/>
              <w:spacing w:before="0" w:after="283"/>
              <w:jc w:val="center"/>
              <w:rPr>
                <w:b/>
              </w:rPr>
            </w:pPr>
            <w:r>
              <w:rPr>
                <w:b/>
              </w:rPr>
              <w:t>Pension Benefits</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2026</w:t>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right"/>
              <w:rPr>
                <w:b/>
              </w:rPr>
            </w:pPr>
            <w:r>
              <w:rPr>
                <w:b/>
              </w:rPr>
              <w:t>2</w:t>
            </w:r>
          </w:p>
        </w:tc>
        <w:tc>
          <w:tcPr>
            <w:tcW w:w="13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2027</w:t>
            </w:r>
          </w:p>
        </w:tc>
        <w:tc>
          <w:tcPr>
            <w:tcW w:w="17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b/>
              </w:rPr>
            </w:pPr>
            <w:r>
              <w:rPr>
                <w:b/>
              </w:rPr>
              <w:t>2</w:t>
            </w:r>
          </w:p>
        </w:tc>
        <w:tc>
          <w:tcPr>
            <w:tcW w:w="13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2028</w:t>
            </w:r>
          </w:p>
        </w:tc>
        <w:tc>
          <w:tcPr>
            <w:tcW w:w="17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b/>
              </w:rPr>
            </w:pPr>
            <w:r>
              <w:rPr>
                <w:b/>
              </w:rPr>
              <w:t>2</w:t>
            </w:r>
          </w:p>
        </w:tc>
        <w:tc>
          <w:tcPr>
            <w:tcW w:w="13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2029</w:t>
            </w:r>
          </w:p>
        </w:tc>
        <w:tc>
          <w:tcPr>
            <w:tcW w:w="17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b/>
              </w:rPr>
            </w:pPr>
            <w:r>
              <w:rPr>
                <w:b/>
              </w:rPr>
              <w:t>2</w:t>
            </w:r>
          </w:p>
        </w:tc>
        <w:tc>
          <w:tcPr>
            <w:tcW w:w="13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2030</w:t>
            </w:r>
          </w:p>
        </w:tc>
        <w:tc>
          <w:tcPr>
            <w:tcW w:w="17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b/>
              </w:rPr>
            </w:pPr>
            <w:r>
              <w:rPr>
                <w:b/>
              </w:rPr>
              <w:t>2</w:t>
            </w:r>
          </w:p>
        </w:tc>
        <w:tc>
          <w:tcPr>
            <w:tcW w:w="13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2031 through 2035</w:t>
            </w:r>
          </w:p>
        </w:tc>
        <w:tc>
          <w:tcPr>
            <w:tcW w:w="17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right"/>
              <w:rPr>
                <w:b/>
              </w:rPr>
            </w:pPr>
            <w:r>
              <w:rPr>
                <w:b/>
              </w:rPr>
              <w:t>9</w:t>
            </w:r>
          </w:p>
        </w:tc>
        <w:tc>
          <w:tcPr>
            <w:tcW w:w="13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43"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8. Corporate Expense Allocation</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lineRule="atLeast" w:line="243" w:before="0" w:after="0"/>
        <w:ind w:left="0" w:right="0" w:hanging="360"/>
        <w:jc w:val="left"/>
        <w:rPr>
          <w:rFonts w:ascii="Times New Roman" w:hAnsi="Times New Roman"/>
          <w:sz w:val="18"/>
          <w:bdr w:val="single" w:sz="2" w:space="1" w:color="000000"/>
        </w:rPr>
      </w:pPr>
      <w:r>
        <w:rPr>
          <w:rFonts w:ascii="Times New Roman" w:hAnsi="Times New Roman"/>
          <w:sz w:val="18"/>
          <w:bdr w:val="single" w:sz="2" w:space="1" w:color="000000"/>
        </w:rPr>
        <w:t xml:space="preserve">Based on management estimates </w:t>
      </w:r>
      <w:r>
        <w:rPr>
          <w:rFonts w:ascii="Times New Roman" w:hAnsi="Times New Roman"/>
          <w:spacing w:val="0"/>
          <w:sz w:val="18"/>
          <w:bdr w:val="single" w:sz="2" w:space="1" w:color="000000"/>
        </w:rPr>
        <w:t>as part of the carve-out financial statement process</w:t>
      </w:r>
      <w:r>
        <w:rPr>
          <w:rFonts w:ascii="Times New Roman" w:hAnsi="Times New Roman"/>
          <w:sz w:val="18"/>
          <w:bdr w:val="single" w:sz="2" w:space="1" w:color="000000"/>
        </w:rPr>
        <w:t>, $3 million, $21 million, $26 million, of general corporate expenses including information technology, accounting, legal, human resources, and other services were allocated to Treasure during the fiscal years ended September 27, 2025, September 28, 2024 and September 30, 2023, respectively. </w:t>
      </w:r>
    </w:p>
    <w:p>
      <w:pPr>
        <w:pStyle w:val="TextBody"/>
        <w:bidi w:val="0"/>
        <w:spacing w:lineRule="atLeast" w:line="243" w:before="0" w:after="0"/>
        <w:jc w:val="left"/>
        <w:rPr>
          <w:bdr w:val="single" w:sz="2" w:space="1" w:color="000000"/>
        </w:rPr>
      </w:pPr>
      <w:r>
        <w:rPr>
          <w:bdr w:val="single" w:sz="2" w:space="1" w:color="000000"/>
        </w:rPr>
        <w:t> </w:t>
      </w:r>
    </w:p>
    <w:p>
      <w:pPr>
        <w:pStyle w:val="TextBody"/>
        <w:bidi w:val="0"/>
        <w:spacing w:lineRule="atLeast" w:line="243" w:before="0" w:after="0"/>
        <w:jc w:val="left"/>
        <w:rPr>
          <w:rFonts w:ascii="Times New Roman" w:hAnsi="Times New Roman"/>
          <w:sz w:val="18"/>
          <w:bdr w:val="single" w:sz="2" w:space="1" w:color="000000"/>
        </w:rPr>
      </w:pPr>
      <w:r>
        <w:rPr>
          <w:rFonts w:ascii="Times New Roman" w:hAnsi="Times New Roman"/>
          <w:b/>
          <w:sz w:val="18"/>
          <w:bdr w:val="single" w:sz="2" w:space="1" w:color="000000"/>
        </w:rPr>
        <w:t>9. Restructuring and Other Activities</w:t>
      </w:r>
      <w:r>
        <w:rPr>
          <w:rFonts w:ascii="Times New Roman" w:hAnsi="Times New Roman"/>
          <w:sz w:val="18"/>
          <w:bdr w:val="single" w:sz="2" w:space="1" w:color="000000"/>
        </w:rPr>
        <w:t xml:space="preserve"> </w:t>
      </w:r>
    </w:p>
    <w:p>
      <w:pPr>
        <w:pStyle w:val="TextBody"/>
        <w:bidi w:val="0"/>
        <w:spacing w:lineRule="atLeast" w:line="270" w:before="0" w:after="0"/>
        <w:jc w:val="left"/>
        <w:rPr>
          <w:bdr w:val="single" w:sz="2" w:space="1" w:color="000000"/>
        </w:rPr>
      </w:pPr>
      <w:r>
        <w:rPr>
          <w:bdr w:val="single" w:sz="2" w:space="1" w:color="000000"/>
        </w:rPr>
        <w:t> </w:t>
      </w:r>
    </w:p>
    <w:p>
      <w:pPr>
        <w:pStyle w:val="TextBody"/>
        <w:bidi w:val="0"/>
        <w:spacing w:lineRule="atLeast" w:line="270" w:before="0" w:after="0"/>
        <w:jc w:val="left"/>
        <w:rPr>
          <w:rFonts w:ascii="Times New Roman" w:hAnsi="Times New Roman"/>
          <w:sz w:val="18"/>
          <w:bdr w:val="single" w:sz="2" w:space="1" w:color="000000"/>
        </w:rPr>
      </w:pPr>
      <w:r>
        <w:rPr>
          <w:rFonts w:ascii="Times New Roman" w:hAnsi="Times New Roman"/>
          <w:sz w:val="18"/>
          <w:bdr w:val="single" w:sz="2" w:space="1" w:color="000000"/>
        </w:rPr>
        <w:t>In the current fiscal year, the Company announced cost savings initiatives including plant rationalizations in all segments as part of the Project CORE restructuring plan. The project is expected to be carried out over the next two years, with the operations savings intended to counter general economic softness.</w:t>
      </w:r>
    </w:p>
    <w:p>
      <w:pPr>
        <w:pStyle w:val="TextBody"/>
        <w:bidi w:val="0"/>
        <w:spacing w:lineRule="atLeast" w:line="270"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The table below sets forth the significant components of the Restructuring and other activities, including supply chain financing activity charges recognized for the periods presented, by reportable segment:</w:t>
      </w:r>
      <w:r>
        <w:rPr>
          <w:rFonts w:ascii="Times New Roman" w:hAnsi="Times New Roman"/>
          <w:sz w:val="18"/>
          <w:bdr w:val="single" w:sz="2" w:space="1" w:color="000000"/>
        </w:rPr>
        <w:t xml:space="preserve"> </w:t>
      </w:r>
    </w:p>
    <w:p>
      <w:pPr>
        <w:pStyle w:val="TextBody"/>
        <w:bidi w:val="0"/>
        <w:spacing w:lineRule="atLeast" w:line="270" w:before="0" w:after="0"/>
        <w:jc w:val="left"/>
        <w:rPr>
          <w:bdr w:val="single" w:sz="2" w:space="1" w:color="000000"/>
        </w:rPr>
      </w:pPr>
      <w:r>
        <w:rPr>
          <w:bdr w:val="single" w:sz="2" w:space="1" w:color="000000"/>
        </w:rPr>
        <w:t> </w:t>
      </w:r>
    </w:p>
    <w:tbl>
      <w:tblPr>
        <w:tblW w:w="3995" w:type="dxa"/>
        <w:jc w:val="left"/>
        <w:tblInd w:w="0" w:type="dxa"/>
        <w:tblLayout w:type="fixed"/>
        <w:tblCellMar>
          <w:top w:w="0" w:type="dxa"/>
          <w:left w:w="0" w:type="dxa"/>
          <w:bottom w:w="0" w:type="dxa"/>
          <w:right w:w="0" w:type="dxa"/>
        </w:tblCellMar>
      </w:tblPr>
      <w:tblGrid>
        <w:gridCol w:w="1400"/>
        <w:gridCol w:w="170"/>
        <w:gridCol w:w="530"/>
        <w:gridCol w:w="90"/>
        <w:gridCol w:w="90"/>
        <w:gridCol w:w="170"/>
        <w:gridCol w:w="530"/>
        <w:gridCol w:w="90"/>
        <w:gridCol w:w="90"/>
        <w:gridCol w:w="170"/>
        <w:gridCol w:w="530"/>
        <w:gridCol w:w="135"/>
      </w:tblGrid>
      <w:tr>
        <w:trPr/>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2023</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Americas</w:t>
            </w:r>
          </w:p>
        </w:tc>
        <w:tc>
          <w:tcPr>
            <w:tcW w:w="170" w:type="dxa"/>
            <w:tcBorders/>
            <w:vAlign w:val="center"/>
          </w:tcPr>
          <w:p>
            <w:pPr>
              <w:pStyle w:val="TableContents"/>
              <w:bidi w:val="0"/>
              <w:spacing w:before="0" w:after="283"/>
              <w:jc w:val="left"/>
              <w:rPr>
                <w:b/>
              </w:rPr>
            </w:pPr>
            <w:r>
              <w:rPr>
                <w:b/>
              </w:rPr>
              <w:t>$</w:t>
            </w:r>
          </w:p>
        </w:tc>
        <w:tc>
          <w:tcPr>
            <w:tcW w:w="530" w:type="dxa"/>
            <w:tcBorders/>
            <w:vAlign w:val="center"/>
          </w:tcPr>
          <w:p>
            <w:pPr>
              <w:pStyle w:val="TableContents"/>
              <w:bidi w:val="0"/>
              <w:spacing w:before="0" w:after="283"/>
              <w:jc w:val="right"/>
              <w:rPr>
                <w:b/>
              </w:rPr>
            </w:pPr>
            <w:r>
              <w:rPr>
                <w:b/>
              </w:rPr>
              <w:t>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17</w:t>
            </w:r>
          </w:p>
        </w:tc>
        <w:tc>
          <w:tcPr>
            <w:tcW w:w="13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Rest of World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b/>
              </w:rPr>
            </w:pPr>
            <w:r>
              <w:rPr>
                <w:b/>
              </w:rPr>
              <w:t>38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16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right"/>
              <w:rPr/>
            </w:pPr>
            <w:r>
              <w:rPr/>
              <w:t>7</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Consolidated</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30" w:type="dxa"/>
            <w:tcBorders>
              <w:bottom w:val="double" w:sz="6" w:space="0" w:color="000000"/>
            </w:tcBorders>
            <w:tcMar>
              <w:bottom w:w="28" w:type="dxa"/>
            </w:tcMar>
            <w:vAlign w:val="center"/>
          </w:tcPr>
          <w:p>
            <w:pPr>
              <w:pStyle w:val="TableContents"/>
              <w:bidi w:val="0"/>
              <w:spacing w:before="0" w:after="283"/>
              <w:jc w:val="right"/>
              <w:rPr>
                <w:b/>
              </w:rPr>
            </w:pPr>
            <w:r>
              <w:rPr>
                <w:b/>
              </w:rPr>
              <w:t>89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tcMar>
              <w:bottom w:w="28" w:type="dxa"/>
            </w:tcMar>
            <w:vAlign w:val="center"/>
          </w:tcPr>
          <w:p>
            <w:pPr>
              <w:pStyle w:val="TableContents"/>
              <w:bidi w:val="0"/>
              <w:spacing w:before="0" w:after="283"/>
              <w:jc w:val="right"/>
              <w:rPr/>
            </w:pPr>
            <w:r>
              <w:rPr/>
              <w:t>30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tcMar>
              <w:bottom w:w="28" w:type="dxa"/>
            </w:tcMar>
            <w:vAlign w:val="center"/>
          </w:tcPr>
          <w:p>
            <w:pPr>
              <w:pStyle w:val="TableContents"/>
              <w:bidi w:val="0"/>
              <w:spacing w:before="0" w:after="283"/>
              <w:jc w:val="right"/>
              <w:rPr/>
            </w:pPr>
            <w:r>
              <w:rPr/>
              <w:t>24</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tLeast" w:line="270" w:before="0" w:after="0"/>
        <w:jc w:val="left"/>
        <w:rPr>
          <w:bdr w:val="single" w:sz="2" w:space="1" w:color="000000"/>
        </w:rPr>
      </w:pPr>
      <w:r>
        <w:rPr>
          <w:bdr w:val="single" w:sz="2" w:space="1" w:color="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27</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The table below sets forth the activity with respect to the Restructuring and other activities accrual at September 27, 2025:</w:t>
      </w:r>
      <w:r>
        <w:rPr>
          <w:rFonts w:ascii="Times New Roman" w:hAnsi="Times New Roman"/>
          <w:sz w:val="18"/>
          <w:bdr w:val="single" w:sz="2" w:space="1" w:color="000000"/>
        </w:rPr>
        <w:t xml:space="preserve"> </w:t>
      </w:r>
    </w:p>
    <w:p>
      <w:pPr>
        <w:pStyle w:val="TextBody"/>
        <w:bidi w:val="0"/>
        <w:spacing w:lineRule="atLeast" w:line="243" w:before="0" w:after="0"/>
        <w:ind w:left="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998"/>
        <w:gridCol w:w="170"/>
        <w:gridCol w:w="1830"/>
        <w:gridCol w:w="185"/>
        <w:gridCol w:w="90"/>
        <w:gridCol w:w="170"/>
        <w:gridCol w:w="1136"/>
        <w:gridCol w:w="185"/>
        <w:gridCol w:w="90"/>
        <w:gridCol w:w="170"/>
        <w:gridCol w:w="1127"/>
        <w:gridCol w:w="185"/>
        <w:gridCol w:w="90"/>
        <w:gridCol w:w="170"/>
        <w:gridCol w:w="1343"/>
        <w:gridCol w:w="185"/>
        <w:gridCol w:w="90"/>
        <w:gridCol w:w="170"/>
        <w:gridCol w:w="590"/>
        <w:gridCol w:w="231"/>
      </w:tblGrid>
      <w:tr>
        <w:trPr/>
        <w:tc>
          <w:tcPr>
            <w:tcW w:w="19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998" w:type="dxa"/>
            <w:tcBorders/>
            <w:vAlign w:val="center"/>
          </w:tcPr>
          <w:p>
            <w:pPr>
              <w:pStyle w:val="TableContents"/>
              <w:bidi w:val="0"/>
              <w:spacing w:before="0" w:after="283"/>
              <w:jc w:val="left"/>
              <w:rPr/>
            </w:pPr>
            <w:r>
              <w:rPr/>
              <w:t> </w:t>
            </w:r>
          </w:p>
        </w:tc>
        <w:tc>
          <w:tcPr>
            <w:tcW w:w="5338"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Restructuring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center"/>
              <w:rPr>
                <w:b/>
              </w:rPr>
            </w:pPr>
            <w:r>
              <w:rPr>
                <w:b/>
              </w:rPr>
              <w:t>Employee Severance</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center"/>
              <w:rPr>
                <w:b/>
              </w:rPr>
            </w:pPr>
            <w:r>
              <w:rPr>
                <w:b/>
              </w:rPr>
              <w:t>Facility Exit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center"/>
              <w:rPr>
                <w:b/>
              </w:rPr>
            </w:pPr>
            <w:r>
              <w:rPr>
                <w:b/>
              </w:rPr>
              <w:t xml:space="preserve">Non-Cash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center"/>
              <w:rPr>
                <w:b/>
              </w:rPr>
            </w:pPr>
            <w:r>
              <w:rPr>
                <w:b/>
              </w:rPr>
              <w:t>Transaction</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30" w:type="dxa"/>
            <w:tcBorders>
              <w:bottom w:val="single" w:sz="2" w:space="0" w:color="000000"/>
            </w:tcBorders>
            <w:tcMar>
              <w:bottom w:w="28" w:type="dxa"/>
            </w:tcMar>
            <w:vAlign w:val="center"/>
          </w:tcPr>
          <w:p>
            <w:pPr>
              <w:pStyle w:val="TableContents"/>
              <w:bidi w:val="0"/>
              <w:spacing w:before="0" w:after="283"/>
              <w:jc w:val="center"/>
              <w:rPr>
                <w:b/>
              </w:rPr>
            </w:pPr>
            <w:r>
              <w:rPr>
                <w:b/>
              </w:rPr>
              <w:t>and Benefits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6" w:type="dxa"/>
            <w:tcBorders>
              <w:bottom w:val="single" w:sz="2" w:space="0" w:color="000000"/>
            </w:tcBorders>
            <w:tcMar>
              <w:bottom w:w="28" w:type="dxa"/>
            </w:tcMar>
            <w:vAlign w:val="center"/>
          </w:tcPr>
          <w:p>
            <w:pPr>
              <w:pStyle w:val="TableContents"/>
              <w:bidi w:val="0"/>
              <w:spacing w:before="0" w:after="283"/>
              <w:jc w:val="center"/>
              <w:rPr>
                <w:b/>
              </w:rPr>
            </w:pPr>
            <w:r>
              <w:rPr>
                <w:b/>
              </w:rPr>
              <w:t>Costs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2" w:space="0" w:color="000000"/>
            </w:tcBorders>
            <w:tcMar>
              <w:bottom w:w="28" w:type="dxa"/>
            </w:tcMar>
            <w:vAlign w:val="center"/>
          </w:tcPr>
          <w:p>
            <w:pPr>
              <w:pStyle w:val="TableContents"/>
              <w:bidi w:val="0"/>
              <w:spacing w:before="0" w:after="283"/>
              <w:jc w:val="center"/>
              <w:rPr>
                <w:b/>
              </w:rPr>
            </w:pPr>
            <w:r>
              <w:rPr>
                <w:b/>
              </w:rPr>
              <w:t>Charges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43" w:type="dxa"/>
            <w:tcBorders>
              <w:bottom w:val="single" w:sz="2" w:space="0" w:color="000000"/>
            </w:tcBorders>
            <w:tcMar>
              <w:bottom w:w="28" w:type="dxa"/>
            </w:tcMar>
            <w:vAlign w:val="center"/>
          </w:tcPr>
          <w:p>
            <w:pPr>
              <w:pStyle w:val="TableContents"/>
              <w:bidi w:val="0"/>
              <w:spacing w:before="0" w:after="283"/>
              <w:jc w:val="center"/>
              <w:rPr>
                <w:b/>
              </w:rPr>
            </w:pPr>
            <w:r>
              <w:rPr>
                <w:b/>
              </w:rPr>
              <w:t>and Other(a)</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Balance as of fiscal 2022</w:t>
            </w:r>
          </w:p>
        </w:tc>
        <w:tc>
          <w:tcPr>
            <w:tcW w:w="170" w:type="dxa"/>
            <w:tcBorders/>
            <w:vAlign w:val="center"/>
          </w:tcPr>
          <w:p>
            <w:pPr>
              <w:pStyle w:val="TableContents"/>
              <w:bidi w:val="0"/>
              <w:spacing w:before="0" w:after="283"/>
              <w:jc w:val="left"/>
              <w:rPr/>
            </w:pPr>
            <w:r>
              <w:rPr/>
              <w:t>$</w:t>
            </w:r>
          </w:p>
        </w:tc>
        <w:tc>
          <w:tcPr>
            <w:tcW w:w="1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27"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43" w:type="dxa"/>
            <w:tcBorders/>
            <w:vAlign w:val="center"/>
          </w:tcPr>
          <w:p>
            <w:pPr>
              <w:pStyle w:val="TableContents"/>
              <w:bidi w:val="0"/>
              <w:spacing w:before="0" w:after="283"/>
              <w:jc w:val="right"/>
              <w:rPr/>
            </w:pPr>
            <w:r>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4</w:t>
            </w:r>
          </w:p>
        </w:tc>
        <w:tc>
          <w:tcPr>
            <w:tcW w:w="231"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Charges</w:t>
            </w:r>
          </w:p>
        </w:tc>
        <w:tc>
          <w:tcPr>
            <w:tcW w:w="17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right"/>
              <w:rPr/>
            </w:pPr>
            <w:r>
              <w:rPr/>
              <w:t>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24</w:t>
            </w:r>
          </w:p>
        </w:tc>
        <w:tc>
          <w:tcPr>
            <w:tcW w:w="231"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Cash</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30" w:type="dxa"/>
            <w:tcBorders>
              <w:bottom w:val="single" w:sz="2" w:space="0" w:color="000000"/>
            </w:tcBorders>
            <w:tcMar>
              <w:bottom w:w="28" w:type="dxa"/>
            </w:tcMar>
            <w:vAlign w:val="center"/>
          </w:tcPr>
          <w:p>
            <w:pPr>
              <w:pStyle w:val="TableContents"/>
              <w:bidi w:val="0"/>
              <w:spacing w:before="0" w:after="283"/>
              <w:jc w:val="right"/>
              <w:rPr/>
            </w:pPr>
            <w:r>
              <w:rPr/>
              <w:t>(10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6" w:type="dxa"/>
            <w:tcBorders>
              <w:bottom w:val="single" w:sz="2" w:space="0" w:color="000000"/>
            </w:tcBorders>
            <w:tcMar>
              <w:bottom w:w="28" w:type="dxa"/>
            </w:tcMar>
            <w:vAlign w:val="center"/>
          </w:tcPr>
          <w:p>
            <w:pPr>
              <w:pStyle w:val="TableContents"/>
              <w:bidi w:val="0"/>
              <w:spacing w:before="0" w:after="283"/>
              <w:jc w:val="right"/>
              <w:rPr/>
            </w:pPr>
            <w:r>
              <w:rPr/>
              <w:t>(1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43" w:type="dxa"/>
            <w:tcBorders>
              <w:bottom w:val="single" w:sz="2" w:space="0" w:color="000000"/>
            </w:tcBorders>
            <w:tcMar>
              <w:bottom w:w="28" w:type="dxa"/>
            </w:tcMar>
            <w:vAlign w:val="center"/>
          </w:tcPr>
          <w:p>
            <w:pPr>
              <w:pStyle w:val="TableContents"/>
              <w:bidi w:val="0"/>
              <w:spacing w:before="0" w:after="283"/>
              <w:jc w:val="right"/>
              <w:rPr/>
            </w:pPr>
            <w:r>
              <w:rPr/>
              <w:t>(17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(28</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Balance as of fiscal 2023</w:t>
            </w:r>
          </w:p>
        </w:tc>
        <w:tc>
          <w:tcPr>
            <w:tcW w:w="170" w:type="dxa"/>
            <w:tcBorders/>
            <w:vAlign w:val="center"/>
          </w:tcPr>
          <w:p>
            <w:pPr>
              <w:pStyle w:val="TableContents"/>
              <w:bidi w:val="0"/>
              <w:spacing w:before="0" w:after="283"/>
              <w:jc w:val="left"/>
              <w:rPr/>
            </w:pPr>
            <w:r>
              <w:rPr/>
              <w:t>$</w:t>
            </w:r>
          </w:p>
        </w:tc>
        <w:tc>
          <w:tcPr>
            <w:tcW w:w="1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27"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4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 xml:space="preserve">— </w:t>
            </w:r>
          </w:p>
        </w:tc>
        <w:tc>
          <w:tcPr>
            <w:tcW w:w="231"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Charges</w:t>
            </w:r>
          </w:p>
        </w:tc>
        <w:tc>
          <w:tcPr>
            <w:tcW w:w="17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right"/>
              <w:rPr/>
            </w:pPr>
            <w:r>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30</w:t>
            </w:r>
          </w:p>
        </w:tc>
        <w:tc>
          <w:tcPr>
            <w:tcW w:w="231"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Non-cash items</w:t>
            </w:r>
          </w:p>
        </w:tc>
        <w:tc>
          <w:tcPr>
            <w:tcW w:w="17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w:t>
            </w:r>
          </w:p>
        </w:tc>
        <w:tc>
          <w:tcPr>
            <w:tcW w:w="231"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Cash</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30" w:type="dxa"/>
            <w:tcBorders>
              <w:bottom w:val="single" w:sz="2" w:space="0" w:color="000000"/>
            </w:tcBorders>
            <w:tcMar>
              <w:bottom w:w="28" w:type="dxa"/>
            </w:tcMar>
            <w:vAlign w:val="center"/>
          </w:tcPr>
          <w:p>
            <w:pPr>
              <w:pStyle w:val="TableContents"/>
              <w:bidi w:val="0"/>
              <w:spacing w:before="0" w:after="283"/>
              <w:jc w:val="right"/>
              <w:rPr/>
            </w:pPr>
            <w:r>
              <w:rPr/>
              <w:t>(5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6" w:type="dxa"/>
            <w:tcBorders>
              <w:bottom w:val="single" w:sz="2" w:space="0" w:color="000000"/>
            </w:tcBorders>
            <w:tcMar>
              <w:bottom w:w="28" w:type="dxa"/>
            </w:tcMar>
            <w:vAlign w:val="center"/>
          </w:tcPr>
          <w:p>
            <w:pPr>
              <w:pStyle w:val="TableContents"/>
              <w:bidi w:val="0"/>
              <w:spacing w:before="0" w:after="283"/>
              <w:jc w:val="right"/>
              <w:rPr/>
            </w:pPr>
            <w:r>
              <w:rPr/>
              <w:t>(3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43" w:type="dxa"/>
            <w:tcBorders>
              <w:bottom w:val="single" w:sz="2" w:space="0" w:color="000000"/>
            </w:tcBorders>
            <w:tcMar>
              <w:bottom w:w="28" w:type="dxa"/>
            </w:tcMar>
            <w:vAlign w:val="center"/>
          </w:tcPr>
          <w:p>
            <w:pPr>
              <w:pStyle w:val="TableContents"/>
              <w:bidi w:val="0"/>
              <w:spacing w:before="0" w:after="283"/>
              <w:jc w:val="right"/>
              <w:rPr/>
            </w:pPr>
            <w:r>
              <w:rPr/>
              <w:t>(11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(19</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Balance as of fiscal 2024</w:t>
            </w:r>
          </w:p>
        </w:tc>
        <w:tc>
          <w:tcPr>
            <w:tcW w:w="170" w:type="dxa"/>
            <w:tcBorders/>
            <w:vAlign w:val="center"/>
          </w:tcPr>
          <w:p>
            <w:pPr>
              <w:pStyle w:val="TableContents"/>
              <w:bidi w:val="0"/>
              <w:spacing w:before="0" w:after="283"/>
              <w:jc w:val="left"/>
              <w:rPr/>
            </w:pPr>
            <w:r>
              <w:rPr/>
              <w:t>$</w:t>
            </w:r>
          </w:p>
        </w:tc>
        <w:tc>
          <w:tcPr>
            <w:tcW w:w="1830" w:type="dxa"/>
            <w:tcBorders/>
            <w:vAlign w:val="center"/>
          </w:tcPr>
          <w:p>
            <w:pPr>
              <w:pStyle w:val="TableContents"/>
              <w:bidi w:val="0"/>
              <w:spacing w:before="0" w:after="283"/>
              <w:jc w:val="right"/>
              <w:rPr/>
            </w:pPr>
            <w:r>
              <w:rPr/>
              <w:t>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27"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4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8</w:t>
            </w:r>
          </w:p>
        </w:tc>
        <w:tc>
          <w:tcPr>
            <w:tcW w:w="231"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Charges</w:t>
            </w:r>
          </w:p>
        </w:tc>
        <w:tc>
          <w:tcPr>
            <w:tcW w:w="17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right"/>
              <w:rPr>
                <w:b/>
              </w:rPr>
            </w:pPr>
            <w:r>
              <w:rPr>
                <w:b/>
              </w:rPr>
              <w:t>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b/>
              </w:rPr>
            </w:pPr>
            <w:r>
              <w:rPr>
                <w:b/>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b/>
              </w:rPr>
            </w:pPr>
            <w:r>
              <w:rPr>
                <w:b/>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b/>
              </w:rPr>
            </w:pPr>
            <w:r>
              <w:rPr>
                <w:b/>
              </w:rPr>
              <w:t>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89</w:t>
            </w:r>
          </w:p>
        </w:tc>
        <w:tc>
          <w:tcPr>
            <w:tcW w:w="231"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pPr>
            <w:r>
              <w:rPr/>
              <w:t>Non-cash items</w:t>
            </w:r>
          </w:p>
        </w:tc>
        <w:tc>
          <w:tcPr>
            <w:tcW w:w="17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b/>
              </w:rPr>
            </w:pPr>
            <w:r>
              <w:rPr>
                <w:b/>
              </w:rPr>
              <w:t>(5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(5</w:t>
            </w:r>
          </w:p>
        </w:tc>
        <w:tc>
          <w:tcPr>
            <w:tcW w:w="231" w:type="dxa"/>
            <w:tcBorders/>
            <w:vAlign w:val="center"/>
          </w:tcPr>
          <w:p>
            <w:pPr>
              <w:pStyle w:val="TableContents"/>
              <w:bidi w:val="0"/>
              <w:spacing w:before="0" w:after="283"/>
              <w:jc w:val="left"/>
              <w:rPr>
                <w:b/>
              </w:rPr>
            </w:pPr>
            <w:r>
              <w:rPr>
                <w:b/>
              </w:rPr>
              <w:t>) </w:t>
            </w:r>
          </w:p>
        </w:tc>
      </w:tr>
      <w:tr>
        <w:trPr/>
        <w:tc>
          <w:tcPr>
            <w:tcW w:w="1998" w:type="dxa"/>
            <w:tcBorders/>
            <w:vAlign w:val="center"/>
          </w:tcPr>
          <w:p>
            <w:pPr>
              <w:pStyle w:val="TableContents"/>
              <w:bidi w:val="0"/>
              <w:spacing w:before="0" w:after="283"/>
              <w:jc w:val="left"/>
              <w:rPr/>
            </w:pPr>
            <w:r>
              <w:rPr/>
              <w:t>Cash payments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30" w:type="dxa"/>
            <w:tcBorders>
              <w:bottom w:val="single" w:sz="2" w:space="0" w:color="000000"/>
            </w:tcBorders>
            <w:tcMar>
              <w:bottom w:w="28" w:type="dxa"/>
            </w:tcMar>
            <w:vAlign w:val="center"/>
          </w:tcPr>
          <w:p>
            <w:pPr>
              <w:pStyle w:val="TableContents"/>
              <w:bidi w:val="0"/>
              <w:spacing w:before="0" w:after="283"/>
              <w:jc w:val="right"/>
              <w:rPr>
                <w:b/>
              </w:rPr>
            </w:pPr>
            <w:r>
              <w:rPr>
                <w:b/>
              </w:rPr>
              <w:t>(21</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6" w:type="dxa"/>
            <w:tcBorders>
              <w:bottom w:val="single" w:sz="2" w:space="0" w:color="000000"/>
            </w:tcBorders>
            <w:tcMar>
              <w:bottom w:w="28" w:type="dxa"/>
            </w:tcMar>
            <w:vAlign w:val="center"/>
          </w:tcPr>
          <w:p>
            <w:pPr>
              <w:pStyle w:val="TableContents"/>
              <w:bidi w:val="0"/>
              <w:spacing w:before="0" w:after="283"/>
              <w:jc w:val="right"/>
              <w:rPr>
                <w:b/>
              </w:rPr>
            </w:pPr>
            <w:r>
              <w:rPr>
                <w:b/>
              </w:rPr>
              <w:t>(2</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43" w:type="dxa"/>
            <w:tcBorders>
              <w:bottom w:val="single" w:sz="2" w:space="0" w:color="000000"/>
            </w:tcBorders>
            <w:tcMar>
              <w:bottom w:w="28" w:type="dxa"/>
            </w:tcMar>
            <w:vAlign w:val="center"/>
          </w:tcPr>
          <w:p>
            <w:pPr>
              <w:pStyle w:val="TableContents"/>
              <w:bidi w:val="0"/>
              <w:spacing w:before="0" w:after="283"/>
              <w:jc w:val="right"/>
              <w:rPr>
                <w:b/>
              </w:rPr>
            </w:pPr>
            <w:r>
              <w:rPr>
                <w:b/>
              </w:rPr>
              <w:t>(54</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(77</w:t>
            </w:r>
          </w:p>
        </w:tc>
        <w:tc>
          <w:tcPr>
            <w:tcW w:w="231" w:type="dxa"/>
            <w:tcBorders>
              <w:bottom w:val="single" w:sz="2" w:space="0" w:color="000000"/>
            </w:tcBorders>
            <w:tcMar>
              <w:bottom w:w="28" w:type="dxa"/>
            </w:tcMar>
            <w:vAlign w:val="center"/>
          </w:tcPr>
          <w:p>
            <w:pPr>
              <w:pStyle w:val="TableContents"/>
              <w:bidi w:val="0"/>
              <w:spacing w:before="0" w:after="283"/>
              <w:jc w:val="left"/>
              <w:rPr>
                <w:b/>
              </w:rPr>
            </w:pPr>
            <w:r>
              <w:rPr>
                <w:b/>
              </w:rPr>
              <w:t>) </w:t>
            </w:r>
          </w:p>
        </w:tc>
      </w:tr>
      <w:tr>
        <w:trPr/>
        <w:tc>
          <w:tcPr>
            <w:tcW w:w="1998" w:type="dxa"/>
            <w:tcBorders/>
            <w:vAlign w:val="center"/>
          </w:tcPr>
          <w:p>
            <w:pPr>
              <w:pStyle w:val="TableContents"/>
              <w:bidi w:val="0"/>
              <w:spacing w:before="0" w:after="283"/>
              <w:jc w:val="left"/>
              <w:rPr/>
            </w:pPr>
            <w:r>
              <w:rPr/>
              <w:t>Balance as of fiscal 2025</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830" w:type="dxa"/>
            <w:tcBorders>
              <w:bottom w:val="double" w:sz="6" w:space="0" w:color="000000"/>
            </w:tcBorders>
            <w:tcMar>
              <w:bottom w:w="28" w:type="dxa"/>
            </w:tcMar>
            <w:vAlign w:val="center"/>
          </w:tcPr>
          <w:p>
            <w:pPr>
              <w:pStyle w:val="TableContents"/>
              <w:bidi w:val="0"/>
              <w:spacing w:before="0" w:after="283"/>
              <w:jc w:val="right"/>
              <w:rPr>
                <w:b/>
              </w:rPr>
            </w:pPr>
            <w:r>
              <w:rPr>
                <w:b/>
              </w:rPr>
              <w:t>13</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36"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27"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343" w:type="dxa"/>
            <w:tcBorders>
              <w:bottom w:val="double" w:sz="6" w:space="0" w:color="000000"/>
            </w:tcBorders>
            <w:tcMar>
              <w:bottom w:w="28" w:type="dxa"/>
            </w:tcMar>
            <w:vAlign w:val="center"/>
          </w:tcPr>
          <w:p>
            <w:pPr>
              <w:pStyle w:val="TableContents"/>
              <w:bidi w:val="0"/>
              <w:spacing w:before="0" w:after="283"/>
              <w:jc w:val="right"/>
              <w:rPr>
                <w:b/>
              </w:rPr>
            </w:pPr>
            <w:r>
              <w:rPr>
                <w:b/>
              </w:rPr>
              <w:t>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15</w:t>
            </w:r>
          </w:p>
        </w:tc>
        <w:tc>
          <w:tcPr>
            <w:tcW w:w="231" w:type="dxa"/>
            <w:tcBorders>
              <w:bottom w:val="double" w:sz="6" w:space="0" w:color="000000"/>
            </w:tcBorders>
            <w:tcMar>
              <w:bottom w:w="28" w:type="dxa"/>
            </w:tcMar>
            <w:vAlign w:val="center"/>
          </w:tcPr>
          <w:p>
            <w:pPr>
              <w:pStyle w:val="TableContents"/>
              <w:bidi w:val="0"/>
              <w:spacing w:before="0" w:after="283"/>
              <w:jc w:val="left"/>
              <w:rPr/>
            </w:pPr>
            <w:r>
              <w:rPr/>
              <w:t> </w:t>
            </w:r>
          </w:p>
        </w:tc>
      </w:tr>
    </w:tbl>
    <w:tbl>
      <w:tblPr>
        <w:tblW w:w="1120"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53"/>
        <w:gridCol w:w="53"/>
        <w:gridCol w:w="53"/>
        <w:gridCol w:w="53"/>
        <w:gridCol w:w="53"/>
        <w:gridCol w:w="53"/>
        <w:gridCol w:w="53"/>
        <w:gridCol w:w="53"/>
        <w:gridCol w:w="53"/>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43" w:before="0" w:after="0"/>
        <w:ind w:left="360" w:right="0" w:hanging="360"/>
        <w:jc w:val="left"/>
        <w:rPr>
          <w:rFonts w:ascii="Times New Roman" w:hAnsi="Times New Roman"/>
          <w:sz w:val="24"/>
          <w:bdr w:val="single" w:sz="2" w:space="1" w:color="000000"/>
        </w:rPr>
      </w:pPr>
      <w:r>
        <w:rPr>
          <w:rFonts w:ascii="Times New Roman" w:hAnsi="Times New Roman"/>
          <w:i/>
          <w:sz w:val="15"/>
          <w:bdr w:val="single" w:sz="2" w:space="1" w:color="000000"/>
        </w:rPr>
        <w:t>(a)</w:t>
      </w:r>
      <w:r>
        <w:rPr>
          <w:rFonts w:ascii="Times New Roman" w:hAnsi="Times New Roman"/>
          <w:i/>
          <w:sz w:val="24"/>
          <w:bdr w:val="single" w:sz="2" w:space="1" w:color="000000"/>
        </w:rPr>
        <w:t xml:space="preserve">    </w:t>
      </w:r>
      <w:r>
        <w:rPr>
          <w:rFonts w:ascii="Times New Roman" w:hAnsi="Times New Roman"/>
          <w:spacing w:val="0"/>
          <w:sz w:val="16"/>
          <w:bdr w:val="single" w:sz="2" w:space="1" w:color="000000"/>
        </w:rPr>
        <w:t>Includes $19 million of Transaction related compensation</w:t>
      </w:r>
      <w:r>
        <w:rPr>
          <w:rFonts w:ascii="Times New Roman" w:hAnsi="Times New Roman"/>
          <w:sz w:val="16"/>
          <w:bdr w:val="single" w:sz="2" w:space="1" w:color="000000"/>
        </w:rPr>
        <w:t xml:space="preserve"> </w:t>
      </w:r>
    </w:p>
    <w:p>
      <w:pPr>
        <w:pStyle w:val="TextBody"/>
        <w:bidi w:val="0"/>
        <w:spacing w:lineRule="atLeast" w:line="243" w:before="0" w:after="0"/>
        <w:jc w:val="left"/>
        <w:rPr>
          <w:bdr w:val="single" w:sz="2" w:space="1" w:color="000000"/>
        </w:rPr>
      </w:pPr>
      <w:r>
        <w:rPr>
          <w:bdr w:val="single" w:sz="2" w:space="1" w:color="000000"/>
        </w:rPr>
        <w:t> </w:t>
      </w:r>
    </w:p>
    <w:p>
      <w:pPr>
        <w:pStyle w:val="TextBody"/>
        <w:bidi w:val="0"/>
        <w:spacing w:lineRule="atLeast" w:line="243" w:before="0" w:after="0"/>
        <w:jc w:val="left"/>
        <w:rPr>
          <w:rFonts w:ascii="Times New Roman" w:hAnsi="Times New Roman"/>
          <w:sz w:val="18"/>
          <w:bdr w:val="single" w:sz="2" w:space="1" w:color="000000"/>
        </w:rPr>
      </w:pPr>
      <w:r>
        <w:rPr>
          <w:rFonts w:ascii="Times New Roman" w:hAnsi="Times New Roman"/>
          <w:sz w:val="18"/>
          <w:bdr w:val="single" w:sz="2" w:space="1" w:color="000000"/>
        </w:rPr>
        <w:t>Since 2023, cumulative costs attributed to restructuring programs total $63 million.</w:t>
      </w:r>
    </w:p>
    <w:p>
      <w:pPr>
        <w:pStyle w:val="TextBody"/>
        <w:bidi w:val="0"/>
        <w:spacing w:lineRule="atLeast" w:line="243" w:before="0" w:after="0"/>
        <w:jc w:val="left"/>
        <w:rPr>
          <w:bdr w:val="single" w:sz="2" w:space="1" w:color="000000"/>
        </w:rPr>
      </w:pPr>
      <w:r>
        <w:rPr>
          <w:bdr w:val="single" w:sz="2" w:space="1" w:color="000000"/>
        </w:rPr>
        <w:t> </w:t>
      </w:r>
    </w:p>
    <w:p>
      <w:pPr>
        <w:pStyle w:val="TextBody"/>
        <w:bidi w:val="0"/>
        <w:spacing w:lineRule="auto" w:line="273" w:before="0" w:after="0"/>
        <w:jc w:val="left"/>
        <w:rPr>
          <w:rFonts w:ascii="Times New Roman" w:hAnsi="Times New Roman"/>
          <w:b/>
          <w:sz w:val="18"/>
          <w:bdr w:val="single" w:sz="2" w:space="1" w:color="000000"/>
        </w:rPr>
      </w:pPr>
      <w:r>
        <w:rPr>
          <w:rFonts w:ascii="Times New Roman" w:hAnsi="Times New Roman"/>
          <w:b/>
          <w:sz w:val="18"/>
          <w:bdr w:val="single" w:sz="2" w:space="1" w:color="000000"/>
        </w:rPr>
        <w:t>10.  Equity</w:t>
      </w:r>
    </w:p>
    <w:p>
      <w:pPr>
        <w:pStyle w:val="TextBody"/>
        <w:bidi w:val="0"/>
        <w:spacing w:lineRule="auto" w:line="273"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i/>
          <w:sz w:val="18"/>
          <w:bdr w:val="single" w:sz="2" w:space="1" w:color="000000"/>
        </w:rPr>
      </w:pPr>
      <w:r>
        <w:rPr>
          <w:rFonts w:ascii="Times New Roman" w:hAnsi="Times New Roman"/>
          <w:i/>
          <w:sz w:val="18"/>
          <w:bdr w:val="single" w:sz="2" w:space="1" w:color="000000"/>
        </w:rPr>
        <w:t xml:space="preserve">Equity Incentive Plans </w:t>
      </w:r>
    </w:p>
    <w:p>
      <w:pPr>
        <w:pStyle w:val="TextBody"/>
        <w:bidi w:val="0"/>
        <w:spacing w:lineRule="auto" w:line="273" w:before="0" w:after="0"/>
        <w:jc w:val="both"/>
        <w:rPr>
          <w:bdr w:val="single" w:sz="2" w:space="1" w:color="000000"/>
        </w:rPr>
      </w:pPr>
      <w:r>
        <w:rPr>
          <w:bdr w:val="single" w:sz="2" w:space="1" w:color="000000"/>
        </w:rPr>
        <w:t xml:space="preserve">  </w:t>
      </w:r>
    </w:p>
    <w:p>
      <w:pPr>
        <w:pStyle w:val="TextBody"/>
        <w:bidi w:val="0"/>
        <w:spacing w:lineRule="atLeast" w:line="207"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In the current fiscal year, the Company initiated shareholder-approved stock plans under which restricted stock unit ("RSUs") and performance share units ("PSUs") have been granted to employees at the fair value of the Company's stock on the date of grant. RSUs generally vest ratably over a service period of three years. PSUs generally vest at the end of a performance period of three years. Compensation cost is recorded based upon the fair value of the shares at the original grant date. The fair value of the PSUs are estimated using a Monte Carlo simulation approach. The Company had unrecognized compensation expense of $16 million on awards as of fiscal year end. </w:t>
      </w:r>
    </w:p>
    <w:p>
      <w:pPr>
        <w:pStyle w:val="TextBody"/>
        <w:bidi w:val="0"/>
        <w:spacing w:lineRule="auto" w:line="273" w:before="0" w:after="0"/>
        <w:jc w:val="left"/>
        <w:rPr>
          <w:bdr w:val="single" w:sz="2" w:space="1" w:color="000000"/>
        </w:rPr>
      </w:pPr>
      <w:r>
        <w:rPr>
          <w:bdr w:val="single" w:sz="2" w:space="1" w:color="000000"/>
        </w:rPr>
        <w:t> </w:t>
      </w:r>
    </w:p>
    <w:p>
      <w:pPr>
        <w:pStyle w:val="TextBody"/>
        <w:bidi w:val="0"/>
        <w:spacing w:lineRule="auto" w:line="273"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Information related to the equity incentive plans as of the current fiscal year ended is as follows: </w:t>
      </w:r>
    </w:p>
    <w:p>
      <w:pPr>
        <w:pStyle w:val="TextBody"/>
        <w:bidi w:val="0"/>
        <w:spacing w:before="0" w:after="0"/>
        <w:jc w:val="left"/>
        <w:rPr>
          <w:bdr w:val="single" w:sz="2" w:space="1" w:color="000000"/>
        </w:rPr>
      </w:pPr>
      <w:r>
        <w:rPr>
          <w:bdr w:val="single" w:sz="2" w:space="1" w:color="000000"/>
        </w:rPr>
        <w:t> </w:t>
      </w:r>
    </w:p>
    <w:tbl>
      <w:tblPr>
        <w:tblW w:w="7930" w:type="dxa"/>
        <w:jc w:val="left"/>
        <w:tblInd w:w="0" w:type="dxa"/>
        <w:tblLayout w:type="fixed"/>
        <w:tblCellMar>
          <w:top w:w="0" w:type="dxa"/>
          <w:left w:w="0" w:type="dxa"/>
          <w:bottom w:w="0" w:type="dxa"/>
          <w:right w:w="0" w:type="dxa"/>
        </w:tblCellMar>
      </w:tblPr>
      <w:tblGrid>
        <w:gridCol w:w="3410"/>
        <w:gridCol w:w="90"/>
        <w:gridCol w:w="1910"/>
        <w:gridCol w:w="185"/>
        <w:gridCol w:w="90"/>
        <w:gridCol w:w="170"/>
        <w:gridCol w:w="1940"/>
        <w:gridCol w:w="135"/>
      </w:tblGrid>
      <w:tr>
        <w:trPr/>
        <w:tc>
          <w:tcPr>
            <w:tcW w:w="34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t> </w:t>
            </w:r>
          </w:p>
        </w:tc>
        <w:tc>
          <w:tcPr>
            <w:tcW w:w="452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2025</w:t>
            </w:r>
          </w:p>
        </w:tc>
      </w:tr>
      <w:tr>
        <w:trPr/>
        <w:tc>
          <w:tcPr>
            <w:tcW w:w="3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b/>
              </w:rPr>
            </w:pPr>
            <w:r>
              <w:rPr>
                <w:b/>
              </w:rPr>
              <w:t>Number of Shares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b/>
              </w:rPr>
            </w:pPr>
            <w:r>
              <w:rPr>
                <w:b/>
              </w:rPr>
              <w:t>Weighted Average</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b/>
              </w:rPr>
            </w:pPr>
            <w:r>
              <w:rPr>
                <w:b/>
              </w:rPr>
              <w:t>(in thousands)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b/>
              </w:rPr>
            </w:pPr>
            <w:r>
              <w:rPr>
                <w:b/>
              </w:rPr>
              <w:t>Grant Price</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xml:space="preserve">Awards granted </w:t>
            </w:r>
          </w:p>
        </w:tc>
        <w:tc>
          <w:tcPr>
            <w:tcW w:w="90" w:type="dxa"/>
            <w:tcBorders>
              <w:top w:val="single" w:sz="2" w:space="0" w:color="000000"/>
            </w:tcBorders>
            <w:tcMar>
              <w:top w:w="28" w:type="dxa"/>
            </w:tcMar>
            <w:vAlign w:val="center"/>
          </w:tcPr>
          <w:p>
            <w:pPr>
              <w:pStyle w:val="TableContents"/>
              <w:bidi w:val="0"/>
              <w:spacing w:before="0" w:after="283"/>
              <w:jc w:val="left"/>
              <w:rPr/>
            </w:pPr>
            <w:r>
              <w:rPr/>
              <w:t> </w:t>
            </w:r>
          </w:p>
        </w:tc>
        <w:tc>
          <w:tcPr>
            <w:tcW w:w="1910" w:type="dxa"/>
            <w:tcBorders>
              <w:top w:val="single" w:sz="2" w:space="0" w:color="000000"/>
            </w:tcBorders>
            <w:tcMar>
              <w:top w:w="28" w:type="dxa"/>
            </w:tcMar>
            <w:vAlign w:val="center"/>
          </w:tcPr>
          <w:p>
            <w:pPr>
              <w:pStyle w:val="TableContents"/>
              <w:bidi w:val="0"/>
              <w:spacing w:before="0" w:after="283"/>
              <w:jc w:val="right"/>
              <w:rPr>
                <w:b/>
              </w:rPr>
            </w:pPr>
            <w:r>
              <w:rPr>
                <w:b/>
              </w:rPr>
              <w:t>1,636</w:t>
            </w:r>
          </w:p>
        </w:tc>
        <w:tc>
          <w:tcPr>
            <w:tcW w:w="185" w:type="dxa"/>
            <w:tcBorders>
              <w:top w:val="single" w:sz="2"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tcBorders>
            <w:tcMar>
              <w:top w:w="28" w:type="dxa"/>
            </w:tcMar>
            <w:vAlign w:val="center"/>
          </w:tcPr>
          <w:p>
            <w:pPr>
              <w:pStyle w:val="TableContents"/>
              <w:bidi w:val="0"/>
              <w:spacing w:before="0" w:after="283"/>
              <w:jc w:val="left"/>
              <w:rPr>
                <w:b/>
              </w:rPr>
            </w:pPr>
            <w:r>
              <w:rPr>
                <w:b/>
              </w:rPr>
              <w:t>$</w:t>
            </w:r>
          </w:p>
        </w:tc>
        <w:tc>
          <w:tcPr>
            <w:tcW w:w="1940" w:type="dxa"/>
            <w:tcBorders>
              <w:top w:val="single" w:sz="2" w:space="0" w:color="000000"/>
            </w:tcBorders>
            <w:tcMar>
              <w:top w:w="28" w:type="dxa"/>
            </w:tcMar>
            <w:vAlign w:val="center"/>
          </w:tcPr>
          <w:p>
            <w:pPr>
              <w:pStyle w:val="TableContents"/>
              <w:bidi w:val="0"/>
              <w:spacing w:before="0" w:after="283"/>
              <w:jc w:val="right"/>
              <w:rPr>
                <w:b/>
              </w:rPr>
            </w:pPr>
            <w:r>
              <w:rPr>
                <w:b/>
              </w:rPr>
              <w:t>20.16</w:t>
            </w:r>
          </w:p>
        </w:tc>
        <w:tc>
          <w:tcPr>
            <w:tcW w:w="135"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t xml:space="preserve">Awards exercised </w:t>
            </w:r>
          </w:p>
        </w:tc>
        <w:tc>
          <w:tcPr>
            <w:tcW w:w="9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right"/>
              <w:rPr>
                <w:b/>
              </w:rPr>
            </w:pPr>
            <w:r>
              <w:rPr>
                <w:b/>
              </w:rPr>
              <w:t>(248</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right"/>
              <w:rPr>
                <w:b/>
              </w:rPr>
            </w:pPr>
            <w:r>
              <w:rPr>
                <w:b/>
              </w:rPr>
              <w:t>21.05</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xml:space="preserve">Awards forfeited or cancelled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910" w:type="dxa"/>
            <w:tcBorders>
              <w:bottom w:val="single" w:sz="2" w:space="0" w:color="000000"/>
            </w:tcBorders>
            <w:tcMar>
              <w:bottom w:w="28" w:type="dxa"/>
            </w:tcMar>
            <w:vAlign w:val="center"/>
          </w:tcPr>
          <w:p>
            <w:pPr>
              <w:pStyle w:val="TableContents"/>
              <w:bidi w:val="0"/>
              <w:spacing w:before="0" w:after="283"/>
              <w:jc w:val="right"/>
              <w:rPr>
                <w:b/>
              </w:rPr>
            </w:pPr>
            <w:r>
              <w:rPr>
                <w:b/>
              </w:rPr>
              <w:t>(29</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right"/>
              <w:rPr>
                <w:b/>
              </w:rPr>
            </w:pPr>
            <w:r>
              <w:rPr>
                <w:b/>
              </w:rPr>
              <w:t>20.19</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xml:space="preserve">Awards outstanding, end of period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910" w:type="dxa"/>
            <w:tcBorders>
              <w:bottom w:val="double" w:sz="6" w:space="0" w:color="000000"/>
            </w:tcBorders>
            <w:tcMar>
              <w:bottom w:w="28" w:type="dxa"/>
            </w:tcMar>
            <w:vAlign w:val="center"/>
          </w:tcPr>
          <w:p>
            <w:pPr>
              <w:pStyle w:val="TableContents"/>
              <w:bidi w:val="0"/>
              <w:spacing w:before="0" w:after="283"/>
              <w:jc w:val="right"/>
              <w:rPr>
                <w:b/>
              </w:rPr>
            </w:pPr>
            <w:r>
              <w:rPr>
                <w:b/>
              </w:rPr>
              <w:t>1,359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right"/>
              <w:rPr>
                <w:b/>
              </w:rPr>
            </w:pPr>
            <w:r>
              <w:rPr>
                <w:b/>
              </w:rPr>
              <w:t>20</w:t>
            </w:r>
          </w:p>
        </w:tc>
        <w:tc>
          <w:tcPr>
            <w:tcW w:w="135" w:type="dxa"/>
            <w:tcBorders/>
            <w:vAlign w:val="center"/>
          </w:tcPr>
          <w:p>
            <w:pPr>
              <w:pStyle w:val="TableContents"/>
              <w:bidi w:val="0"/>
              <w:spacing w:before="0" w:after="283"/>
              <w:jc w:val="left"/>
              <w:rPr/>
            </w:pPr>
            <w:r>
              <w:rPr/>
              <w:t> </w:t>
            </w:r>
          </w:p>
        </w:tc>
      </w:tr>
    </w:tbl>
    <w:tbl>
      <w:tblPr>
        <w:tblW w:w="696"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53"/>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Company had equity incentive shares available for grant of 5 million as of September 27, 2025.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11. Segment and Geographic Data</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The Company’s operations are organized into two operating and reportable segments: Americas and Rest of World. The structure is designed to align us with our customers, provide improved service, drive future growth, and to facilitate synergy realization.  Adjusted EBITDA is the primary measure of profit (loss) used by the chief operating decision maker ("CODM"), our CEO, to evaluate the performance of and allocate resources among our reportable segments.  The Company defines Adjusted EBITDA as operating income adjusted to eliminate the impact of certain items that the Company does not consider indicative of its ongoing operating performance. The Company's management, including the CODM, uses Adjusted EBITDA to evaluate segment performance and allocate resources. The accounting policies of the reportable segments are the same as those in the consolidated financial statements. The Company's CODM uses consolidated expense information in the evaluation of segment performance and to allocate resources and is not regularly provided disaggregated expense information for each of the reportable segments.</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28</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Selected information by reportable segment is presented in the following tables: </w:t>
      </w:r>
    </w:p>
    <w:p>
      <w:pPr>
        <w:pStyle w:val="TextBody"/>
        <w:bidi w:val="0"/>
        <w:spacing w:lineRule="auto" w:line="240" w:before="0" w:after="0"/>
        <w:jc w:val="left"/>
        <w:rPr>
          <w:bdr w:val="single" w:sz="2" w:space="1" w:color="000000"/>
        </w:rPr>
      </w:pPr>
      <w:r>
        <w:rPr>
          <w:bdr w:val="single" w:sz="2" w:space="1" w:color="000000"/>
        </w:rPr>
        <w:t> </w:t>
      </w:r>
    </w:p>
    <w:tbl>
      <w:tblPr>
        <w:tblW w:w="9875" w:type="dxa"/>
        <w:jc w:val="left"/>
        <w:tblInd w:w="0" w:type="dxa"/>
        <w:tblLayout w:type="fixed"/>
        <w:tblCellMar>
          <w:top w:w="0" w:type="dxa"/>
          <w:left w:w="0" w:type="dxa"/>
          <w:bottom w:w="0" w:type="dxa"/>
          <w:right w:w="0" w:type="dxa"/>
        </w:tblCellMar>
      </w:tblPr>
      <w:tblGrid>
        <w:gridCol w:w="6725"/>
        <w:gridCol w:w="90"/>
        <w:gridCol w:w="170"/>
        <w:gridCol w:w="590"/>
        <w:gridCol w:w="185"/>
        <w:gridCol w:w="90"/>
        <w:gridCol w:w="170"/>
        <w:gridCol w:w="590"/>
        <w:gridCol w:w="185"/>
        <w:gridCol w:w="90"/>
        <w:gridCol w:w="170"/>
        <w:gridCol w:w="590"/>
        <w:gridCol w:w="230"/>
      </w:tblGrid>
      <w:tr>
        <w:trPr/>
        <w:tc>
          <w:tcPr>
            <w:tcW w:w="67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pPr>
            <w:r>
              <w:rPr/>
              <w:t>2023</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b/>
              </w:rPr>
            </w:pPr>
            <w:r>
              <w:rPr>
                <w:b/>
              </w:rPr>
              <w:t>1,833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1,493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1,531</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1,371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694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744</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Total net sales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3,204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2,187</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2,275</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b/>
              </w:rPr>
            </w:pPr>
            <w:r>
              <w:rPr>
                <w:b/>
              </w:rPr>
              <w:t>Segment operating expenses(5)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b/>
              </w:rPr>
            </w:pPr>
            <w:r>
              <w:rPr>
                <w:b/>
              </w:rPr>
              <w:t>1,592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1,270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1,285</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1,258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635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678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Total segment operating expenses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2,850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1,905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1,963</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b/>
              </w:rPr>
            </w:pPr>
            <w:r>
              <w:rPr>
                <w:b/>
              </w:rPr>
              <w:t>Adjusted EBITDA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b/>
              </w:rPr>
            </w:pPr>
            <w:r>
              <w:rPr>
                <w:b/>
              </w:rPr>
              <w:t>241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223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246</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113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59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66</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Total adjusted EBITDA</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354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282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312</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b/>
              </w:rPr>
            </w:pPr>
            <w:r>
              <w:rPr>
                <w:b/>
              </w:rPr>
              <w:t>Reconciling items: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b/>
              </w:rPr>
            </w:pPr>
            <w:r>
              <w:rPr>
                <w:b/>
              </w:rPr>
              <w:t>206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169</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Restructuring, transaction, business optimization and other activities(1)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24</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Argentina hyperinflation(2)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Goodwill and other impairment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Corporate expense allocation(3)</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26</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Other non-cash charges(4)</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42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14</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Operating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69</w:t>
            </w:r>
          </w:p>
        </w:tc>
        <w:tc>
          <w:tcPr>
            <w:tcW w:w="230" w:type="dxa"/>
            <w:tcBorders/>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Interest expense, net and other expense (income), net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171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(3</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25" w:type="dxa"/>
            <w:tcBorders/>
            <w:vAlign w:val="center"/>
          </w:tcPr>
          <w:p>
            <w:pPr>
              <w:pStyle w:val="TableContents"/>
              <w:bidi w:val="0"/>
              <w:spacing w:before="0" w:after="283"/>
              <w:jc w:val="left"/>
              <w:rPr/>
            </w:pPr>
            <w:r>
              <w:rPr/>
              <w:t>Income (loss) before income taxes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(166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(135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72</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tLeast" w:line="180" w:before="0" w:after="0"/>
        <w:ind w:left="0" w:right="0" w:hanging="0"/>
        <w:jc w:val="left"/>
        <w:rPr>
          <w:bdr w:val="single" w:sz="2" w:space="1" w:color="000000"/>
        </w:rPr>
      </w:pPr>
      <w:r>
        <w:rPr>
          <w:bdr w:val="single" w:sz="2" w:space="1" w:color="000000"/>
        </w:rPr>
        <w:t> </w:t>
      </w:r>
    </w:p>
    <w:p>
      <w:pPr>
        <w:pStyle w:val="TextBody"/>
        <w:bidi w:val="0"/>
        <w:spacing w:lineRule="atLeast" w:line="243" w:before="0" w:after="0"/>
        <w:ind w:left="360" w:right="0" w:hanging="360"/>
        <w:jc w:val="left"/>
        <w:rPr>
          <w:rFonts w:ascii="Times New Roman" w:hAnsi="Times New Roman"/>
          <w:sz w:val="16"/>
          <w:bdr w:val="single" w:sz="2" w:space="1" w:color="000000"/>
        </w:rPr>
      </w:pPr>
      <w:r>
        <w:rPr>
          <w:rFonts w:ascii="Times New Roman" w:hAnsi="Times New Roman"/>
          <w:i/>
          <w:sz w:val="16"/>
          <w:bdr w:val="single" w:sz="2" w:space="1" w:color="000000"/>
        </w:rPr>
        <w:t xml:space="preserve">(1)    </w:t>
      </w:r>
      <w:r>
        <w:rPr>
          <w:rFonts w:ascii="Times New Roman" w:hAnsi="Times New Roman"/>
          <w:spacing w:val="0"/>
          <w:sz w:val="16"/>
          <w:bdr w:val="single" w:sz="2" w:space="1" w:color="000000"/>
        </w:rPr>
        <w:t>Includes $84 million, $30 million, and $24 million of Restructuring and other charges in the fiscal year ended 2025, 2024, and 2023, respectively.</w:t>
      </w:r>
    </w:p>
    <w:p>
      <w:pPr>
        <w:pStyle w:val="TextBody"/>
        <w:bidi w:val="0"/>
        <w:spacing w:lineRule="atLeast" w:line="243" w:before="0" w:after="0"/>
        <w:ind w:left="360" w:right="0" w:hanging="360"/>
        <w:jc w:val="left"/>
        <w:rPr>
          <w:rFonts w:ascii="Times New Roman" w:hAnsi="Times New Roman"/>
          <w:sz w:val="16"/>
          <w:bdr w:val="single" w:sz="2" w:space="1" w:color="000000"/>
        </w:rPr>
      </w:pPr>
      <w:r>
        <w:rPr>
          <w:rFonts w:ascii="Times New Roman" w:hAnsi="Times New Roman"/>
          <w:i/>
          <w:sz w:val="16"/>
          <w:bdr w:val="single" w:sz="2" w:space="1" w:color="000000"/>
        </w:rPr>
        <w:t xml:space="preserve">(2)    </w:t>
      </w:r>
      <w:r>
        <w:rPr>
          <w:rFonts w:ascii="Times New Roman" w:hAnsi="Times New Roman"/>
          <w:spacing w:val="0"/>
          <w:sz w:val="16"/>
          <w:bdr w:val="single" w:sz="2" w:space="1" w:color="000000"/>
        </w:rPr>
        <w:t>Impact of hyperinflation includes the adverse impact of highly inflationary accounting for subsidiaries in Argentina where the functional currency was the Argentine Peso</w:t>
      </w:r>
      <w:r>
        <w:rPr>
          <w:rFonts w:ascii="Times New Roman" w:hAnsi="Times New Roman"/>
          <w:sz w:val="16"/>
          <w:bdr w:val="single" w:sz="2" w:space="1" w:color="000000"/>
        </w:rPr>
        <w:t xml:space="preserve"> </w:t>
      </w:r>
    </w:p>
    <w:p>
      <w:pPr>
        <w:pStyle w:val="TextBody"/>
        <w:bidi w:val="0"/>
        <w:spacing w:lineRule="atLeast" w:line="243" w:before="0" w:after="0"/>
        <w:ind w:left="360" w:right="0" w:hanging="360"/>
        <w:jc w:val="left"/>
        <w:rPr>
          <w:rFonts w:ascii="Times New Roman" w:hAnsi="Times New Roman"/>
          <w:sz w:val="16"/>
          <w:bdr w:val="single" w:sz="2" w:space="1" w:color="000000"/>
        </w:rPr>
      </w:pPr>
      <w:r>
        <w:rPr>
          <w:rFonts w:ascii="Times New Roman" w:hAnsi="Times New Roman"/>
          <w:i/>
          <w:sz w:val="16"/>
          <w:bdr w:val="single" w:sz="2" w:space="1" w:color="000000"/>
        </w:rPr>
        <w:t xml:space="preserve">(3)    </w:t>
      </w:r>
      <w:r>
        <w:rPr>
          <w:rFonts w:ascii="Times New Roman" w:hAnsi="Times New Roman"/>
          <w:spacing w:val="0"/>
          <w:sz w:val="16"/>
          <w:bdr w:val="single" w:sz="2" w:space="1" w:color="000000"/>
        </w:rPr>
        <w:t>Consists of estimated parent-allocated charges for the period prior to merger which is required by GAAP as part of the carve-out financial statement process</w:t>
      </w:r>
      <w:r>
        <w:rPr>
          <w:rFonts w:ascii="Times New Roman" w:hAnsi="Times New Roman"/>
          <w:sz w:val="16"/>
          <w:bdr w:val="single" w:sz="2" w:space="1" w:color="000000"/>
        </w:rPr>
        <w:t xml:space="preserve"> </w:t>
      </w:r>
    </w:p>
    <w:p>
      <w:pPr>
        <w:pStyle w:val="TextBody"/>
        <w:bidi w:val="0"/>
        <w:spacing w:lineRule="atLeast" w:line="243" w:before="0" w:after="0"/>
        <w:ind w:left="360" w:right="0" w:hanging="360"/>
        <w:jc w:val="left"/>
        <w:rPr>
          <w:rFonts w:ascii="Times New Roman" w:hAnsi="Times New Roman"/>
          <w:sz w:val="16"/>
          <w:bdr w:val="single" w:sz="2" w:space="1" w:color="000000"/>
        </w:rPr>
      </w:pPr>
      <w:r>
        <w:rPr>
          <w:rFonts w:ascii="Times New Roman" w:hAnsi="Times New Roman"/>
          <w:i/>
          <w:sz w:val="16"/>
          <w:bdr w:val="single" w:sz="2" w:space="1" w:color="000000"/>
        </w:rPr>
        <w:t xml:space="preserve">(4)    </w:t>
      </w:r>
      <w:r>
        <w:rPr>
          <w:rFonts w:ascii="Times New Roman" w:hAnsi="Times New Roman"/>
          <w:spacing w:val="0"/>
          <w:sz w:val="16"/>
          <w:bdr w:val="single" w:sz="2" w:space="1" w:color="000000"/>
        </w:rPr>
        <w:t>Includes stock compensation expense and other non-cash items, including $16 million of inventory step-up charges related to the GLT merger and $5 million of Restructuring and other expenses in the fiscal year ended 2025</w:t>
      </w:r>
    </w:p>
    <w:p>
      <w:pPr>
        <w:pStyle w:val="TextBody"/>
        <w:bidi w:val="0"/>
        <w:spacing w:lineRule="atLeast" w:line="243" w:before="0" w:after="0"/>
        <w:ind w:left="360" w:right="0" w:hanging="360"/>
        <w:jc w:val="left"/>
        <w:rPr>
          <w:rFonts w:ascii="Times New Roman" w:hAnsi="Times New Roman"/>
          <w:i/>
          <w:sz w:val="16"/>
          <w:bdr w:val="single" w:sz="2" w:space="1" w:color="000000"/>
        </w:rPr>
      </w:pPr>
      <w:r>
        <w:rPr>
          <w:rFonts w:ascii="Times New Roman" w:hAnsi="Times New Roman"/>
          <w:i/>
          <w:sz w:val="16"/>
          <w:bdr w:val="single" w:sz="2" w:space="1" w:color="000000"/>
        </w:rPr>
        <w:t>(5)   </w:t>
      </w:r>
      <w:r>
        <w:rPr>
          <w:rFonts w:ascii="Times New Roman" w:hAnsi="Times New Roman"/>
          <w:i w:val="false"/>
          <w:caps w:val="false"/>
          <w:smallCaps w:val="false"/>
          <w:sz w:val="16"/>
          <w:bdr w:val="single" w:sz="2" w:space="1" w:color="000000"/>
        </w:rPr>
        <w:t>Segment operating expenses include primarily cost of goods sold and selling, general and administrative expenses </w:t>
      </w:r>
    </w:p>
    <w:p>
      <w:pPr>
        <w:pStyle w:val="TextBody"/>
        <w:bidi w:val="0"/>
        <w:spacing w:lineRule="auto" w:line="240" w:before="0" w:after="0"/>
        <w:jc w:val="left"/>
        <w:rPr>
          <w:bdr w:val="single" w:sz="2" w:space="1" w:color="000000"/>
        </w:rPr>
      </w:pPr>
      <w:r>
        <w:rPr>
          <w:bdr w:val="single" w:sz="2" w:space="1" w:color="000000"/>
        </w:rPr>
        <w:t> </w:t>
      </w:r>
    </w:p>
    <w:tbl>
      <w:tblPr>
        <w:tblW w:w="5735" w:type="dxa"/>
        <w:jc w:val="left"/>
        <w:tblInd w:w="0" w:type="dxa"/>
        <w:tblLayout w:type="fixed"/>
        <w:tblCellMar>
          <w:top w:w="0" w:type="dxa"/>
          <w:left w:w="0" w:type="dxa"/>
          <w:bottom w:w="0" w:type="dxa"/>
          <w:right w:w="0" w:type="dxa"/>
        </w:tblCellMar>
      </w:tblPr>
      <w:tblGrid>
        <w:gridCol w:w="3410"/>
        <w:gridCol w:w="90"/>
        <w:gridCol w:w="170"/>
        <w:gridCol w:w="410"/>
        <w:gridCol w:w="90"/>
        <w:gridCol w:w="90"/>
        <w:gridCol w:w="170"/>
        <w:gridCol w:w="410"/>
        <w:gridCol w:w="90"/>
        <w:gridCol w:w="90"/>
        <w:gridCol w:w="170"/>
        <w:gridCol w:w="410"/>
        <w:gridCol w:w="135"/>
      </w:tblGrid>
      <w:tr>
        <w:trPr/>
        <w:tc>
          <w:tcPr>
            <w:tcW w:w="34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410" w:type="dxa"/>
            <w:tcBorders/>
            <w:vAlign w:val="center"/>
          </w:tcPr>
          <w:p>
            <w:pPr>
              <w:pStyle w:val="TableContents"/>
              <w:bidi w:val="0"/>
              <w:spacing w:before="0" w:after="283"/>
              <w:jc w:val="right"/>
              <w:rPr>
                <w:b/>
              </w:rPr>
            </w:pPr>
            <w:r>
              <w:rPr>
                <w:b/>
              </w:rPr>
              <w:t>132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123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119</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410" w:type="dxa"/>
            <w:tcBorders>
              <w:bottom w:val="single" w:sz="2" w:space="0" w:color="000000"/>
            </w:tcBorders>
            <w:tcMar>
              <w:bottom w:w="28" w:type="dxa"/>
            </w:tcMar>
            <w:vAlign w:val="center"/>
          </w:tcPr>
          <w:p>
            <w:pPr>
              <w:pStyle w:val="TableContents"/>
              <w:bidi w:val="0"/>
              <w:spacing w:before="0" w:after="283"/>
              <w:jc w:val="right"/>
              <w:rPr>
                <w:b/>
              </w:rPr>
            </w:pPr>
            <w:r>
              <w:rPr>
                <w:b/>
              </w:rPr>
              <w:t>74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410" w:type="dxa"/>
            <w:tcBorders>
              <w:bottom w:val="single" w:sz="2" w:space="0" w:color="000000"/>
            </w:tcBorders>
            <w:tcMar>
              <w:bottom w:w="28" w:type="dxa"/>
            </w:tcMar>
            <w:vAlign w:val="center"/>
          </w:tcPr>
          <w:p>
            <w:pPr>
              <w:pStyle w:val="TableContents"/>
              <w:bidi w:val="0"/>
              <w:spacing w:before="0" w:after="283"/>
              <w:jc w:val="right"/>
              <w:rPr/>
            </w:pPr>
            <w:r>
              <w:rPr/>
              <w:t>52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410" w:type="dxa"/>
            <w:tcBorders>
              <w:bottom w:val="single" w:sz="2" w:space="0" w:color="000000"/>
            </w:tcBorders>
            <w:tcMar>
              <w:bottom w:w="28" w:type="dxa"/>
            </w:tcMar>
            <w:vAlign w:val="center"/>
          </w:tcPr>
          <w:p>
            <w:pPr>
              <w:pStyle w:val="TableContents"/>
              <w:bidi w:val="0"/>
              <w:spacing w:before="0" w:after="283"/>
              <w:jc w:val="right"/>
              <w:rPr/>
            </w:pPr>
            <w:r>
              <w:rPr/>
              <w:t>50</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Total depreciation and amortization</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410" w:type="dxa"/>
            <w:tcBorders>
              <w:bottom w:val="double" w:sz="6" w:space="0" w:color="000000"/>
            </w:tcBorders>
            <w:tcMar>
              <w:bottom w:w="28" w:type="dxa"/>
            </w:tcMar>
            <w:vAlign w:val="center"/>
          </w:tcPr>
          <w:p>
            <w:pPr>
              <w:pStyle w:val="TableContents"/>
              <w:bidi w:val="0"/>
              <w:spacing w:before="0" w:after="283"/>
              <w:jc w:val="right"/>
              <w:rPr>
                <w:b/>
              </w:rPr>
            </w:pPr>
            <w:r>
              <w:rPr>
                <w:b/>
              </w:rPr>
              <w:t>206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10" w:type="dxa"/>
            <w:tcBorders>
              <w:bottom w:val="double" w:sz="6" w:space="0" w:color="000000"/>
            </w:tcBorders>
            <w:tcMar>
              <w:bottom w:w="28" w:type="dxa"/>
            </w:tcMar>
            <w:vAlign w:val="center"/>
          </w:tcPr>
          <w:p>
            <w:pPr>
              <w:pStyle w:val="TableContents"/>
              <w:bidi w:val="0"/>
              <w:spacing w:before="0" w:after="283"/>
              <w:jc w:val="right"/>
              <w:rPr/>
            </w:pPr>
            <w:r>
              <w:rPr/>
              <w:t>175</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10" w:type="dxa"/>
            <w:tcBorders>
              <w:bottom w:val="double" w:sz="6" w:space="0" w:color="000000"/>
            </w:tcBorders>
            <w:tcMar>
              <w:bottom w:w="28" w:type="dxa"/>
            </w:tcMar>
            <w:vAlign w:val="center"/>
          </w:tcPr>
          <w:p>
            <w:pPr>
              <w:pStyle w:val="TableContents"/>
              <w:bidi w:val="0"/>
              <w:spacing w:before="0" w:after="283"/>
              <w:jc w:val="right"/>
              <w:rPr/>
            </w:pPr>
            <w:r>
              <w:rPr/>
              <w:t>169</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240" w:before="0" w:after="0"/>
        <w:jc w:val="left"/>
        <w:rPr>
          <w:bdr w:val="single" w:sz="2" w:space="1" w:color="000000"/>
        </w:rPr>
      </w:pPr>
      <w:r>
        <w:rPr>
          <w:bdr w:val="single" w:sz="2" w:space="1" w:color="000000"/>
        </w:rPr>
        <w:t> </w:t>
      </w:r>
    </w:p>
    <w:tbl>
      <w:tblPr>
        <w:tblW w:w="4285" w:type="dxa"/>
        <w:jc w:val="left"/>
        <w:tblInd w:w="0" w:type="dxa"/>
        <w:tblLayout w:type="fixed"/>
        <w:tblCellMar>
          <w:top w:w="0" w:type="dxa"/>
          <w:left w:w="0" w:type="dxa"/>
          <w:bottom w:w="0" w:type="dxa"/>
          <w:right w:w="0" w:type="dxa"/>
        </w:tblCellMar>
      </w:tblPr>
      <w:tblGrid>
        <w:gridCol w:w="2180"/>
        <w:gridCol w:w="90"/>
        <w:gridCol w:w="90"/>
        <w:gridCol w:w="90"/>
        <w:gridCol w:w="170"/>
        <w:gridCol w:w="590"/>
        <w:gridCol w:w="90"/>
        <w:gridCol w:w="90"/>
        <w:gridCol w:w="170"/>
        <w:gridCol w:w="590"/>
        <w:gridCol w:w="135"/>
      </w:tblGrid>
      <w:tr>
        <w:trPr/>
        <w:tc>
          <w:tcPr>
            <w:tcW w:w="21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b/>
              </w:rPr>
            </w:pPr>
            <w:r>
              <w:rPr>
                <w:b/>
              </w:rPr>
              <w:t>Long-lived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590" w:type="dxa"/>
            <w:tcBorders/>
            <w:vAlign w:val="center"/>
          </w:tcPr>
          <w:p>
            <w:pPr>
              <w:pStyle w:val="TableContents"/>
              <w:bidi w:val="0"/>
              <w:spacing w:before="0" w:after="283"/>
              <w:jc w:val="right"/>
              <w:rPr>
                <w:b/>
              </w:rPr>
            </w:pPr>
            <w:r>
              <w:rPr>
                <w:b/>
              </w:rPr>
              <w:t>1,796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1,460</w:t>
            </w:r>
          </w:p>
        </w:tc>
        <w:tc>
          <w:tcPr>
            <w:tcW w:w="13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770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461</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Total long-lived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2,566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1,921</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240" w:before="0" w:after="0"/>
        <w:jc w:val="left"/>
        <w:rPr>
          <w:bdr w:val="single" w:sz="2" w:space="1" w:color="000000"/>
        </w:rPr>
      </w:pPr>
      <w:r>
        <w:rPr>
          <w:bdr w:val="single" w:sz="2" w:space="1" w:color="000000"/>
        </w:rPr>
        <w:t> </w:t>
      </w:r>
    </w:p>
    <w:p>
      <w:pPr>
        <w:pStyle w:val="TextBody"/>
        <w:bidi w:val="0"/>
        <w:spacing w:lineRule="atLeast" w:line="180"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Total assets and capital expenditures by segment are not disclosed as the CODM does not utilize these measures to evaluate segment performance or allocate resources and capital.</w:t>
      </w:r>
    </w:p>
    <w:p>
      <w:pPr>
        <w:pStyle w:val="TextBody"/>
        <w:bidi w:val="0"/>
        <w:spacing w:lineRule="auto" w:line="240" w:before="0" w:after="0"/>
        <w:jc w:val="left"/>
        <w:rPr>
          <w:bdr w:val="single" w:sz="2" w:space="1" w:color="000000"/>
        </w:rPr>
      </w:pPr>
      <w:r>
        <w:rPr>
          <w:bdr w:val="single" w:sz="2" w:space="1" w:color="000000"/>
        </w:rPr>
        <w:t> </w:t>
      </w:r>
    </w:p>
    <w:tbl>
      <w:tblPr>
        <w:tblW w:w="643"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Selected information by geographical region is presented in the following tables: </w:t>
      </w:r>
    </w:p>
    <w:tbl>
      <w:tblPr>
        <w:tblW w:w="1374"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spacing w:lineRule="auto" w:line="240" w:before="0" w:after="0"/>
        <w:jc w:val="left"/>
        <w:rPr>
          <w:bdr w:val="single" w:sz="2" w:space="1" w:color="000000"/>
        </w:rPr>
      </w:pPr>
      <w:r>
        <w:rPr>
          <w:bdr w:val="single" w:sz="2" w:space="1" w:color="000000"/>
        </w:rPr>
        <w:t> </w:t>
      </w:r>
    </w:p>
    <w:tbl>
      <w:tblPr>
        <w:tblW w:w="5375" w:type="dxa"/>
        <w:jc w:val="left"/>
        <w:tblInd w:w="0" w:type="dxa"/>
        <w:tblLayout w:type="fixed"/>
        <w:tblCellMar>
          <w:top w:w="0" w:type="dxa"/>
          <w:left w:w="0" w:type="dxa"/>
          <w:bottom w:w="0" w:type="dxa"/>
          <w:right w:w="0" w:type="dxa"/>
        </w:tblCellMar>
      </w:tblPr>
      <w:tblGrid>
        <w:gridCol w:w="2510"/>
        <w:gridCol w:w="90"/>
        <w:gridCol w:w="170"/>
        <w:gridCol w:w="590"/>
        <w:gridCol w:w="90"/>
        <w:gridCol w:w="90"/>
        <w:gridCol w:w="170"/>
        <w:gridCol w:w="590"/>
        <w:gridCol w:w="90"/>
        <w:gridCol w:w="90"/>
        <w:gridCol w:w="170"/>
        <w:gridCol w:w="590"/>
        <w:gridCol w:w="135"/>
      </w:tblGrid>
      <w:tr>
        <w:trPr/>
        <w:tc>
          <w:tcPr>
            <w:tcW w:w="25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pPr>
            <w:r>
              <w:rPr/>
              <w:t>2023</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United States and Canada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590" w:type="dxa"/>
            <w:tcBorders/>
            <w:vAlign w:val="center"/>
          </w:tcPr>
          <w:p>
            <w:pPr>
              <w:pStyle w:val="TableContents"/>
              <w:bidi w:val="0"/>
              <w:spacing w:before="0" w:after="283"/>
              <w:jc w:val="right"/>
              <w:rPr>
                <w:b/>
              </w:rPr>
            </w:pPr>
            <w:r>
              <w:rPr>
                <w:b/>
              </w:rPr>
              <w:t>1,398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991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998</w:t>
            </w:r>
          </w:p>
        </w:tc>
        <w:tc>
          <w:tcPr>
            <w:tcW w:w="13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Latin America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435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533</w:t>
            </w:r>
          </w:p>
        </w:tc>
        <w:tc>
          <w:tcPr>
            <w:tcW w:w="13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1,371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694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744</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Total net sales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3,204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2,187</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2,275</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tbl>
      <w:tblPr>
        <w:tblW w:w="749"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53"/>
        <w:gridCol w:w="53"/>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bdr w:val="single" w:sz="2" w:space="1" w:color="000000"/>
        </w:rPr>
      </w:pPr>
      <w:r>
        <w:rPr>
          <w:bdr w:val="single" w:sz="2" w:space="1" w:color="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29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Selected information by product line is presented in the following tables: </w:t>
      </w:r>
    </w:p>
    <w:p>
      <w:pPr>
        <w:pStyle w:val="TextBody"/>
        <w:bidi w:val="0"/>
        <w:spacing w:before="0" w:after="0"/>
        <w:jc w:val="left"/>
        <w:rPr>
          <w:bdr w:val="single" w:sz="2" w:space="1" w:color="000000"/>
        </w:rPr>
      </w:pPr>
      <w:r>
        <w:rPr>
          <w:bdr w:val="single" w:sz="2" w:space="1" w:color="000000"/>
        </w:rPr>
        <w:t> </w:t>
      </w:r>
    </w:p>
    <w:tbl>
      <w:tblPr>
        <w:tblW w:w="4305" w:type="dxa"/>
        <w:jc w:val="left"/>
        <w:tblInd w:w="0" w:type="dxa"/>
        <w:tblLayout w:type="fixed"/>
        <w:tblCellMar>
          <w:top w:w="0" w:type="dxa"/>
          <w:left w:w="0" w:type="dxa"/>
          <w:bottom w:w="0" w:type="dxa"/>
          <w:right w:w="0" w:type="dxa"/>
        </w:tblCellMar>
      </w:tblPr>
      <w:tblGrid>
        <w:gridCol w:w="1985"/>
        <w:gridCol w:w="90"/>
        <w:gridCol w:w="90"/>
        <w:gridCol w:w="90"/>
        <w:gridCol w:w="90"/>
        <w:gridCol w:w="90"/>
        <w:gridCol w:w="90"/>
        <w:gridCol w:w="710"/>
        <w:gridCol w:w="90"/>
        <w:gridCol w:w="90"/>
        <w:gridCol w:w="90"/>
        <w:gridCol w:w="665"/>
        <w:gridCol w:w="135"/>
      </w:tblGrid>
      <w:tr>
        <w:trPr/>
        <w:tc>
          <w:tcPr>
            <w:tcW w:w="19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(in percentages)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Personal Care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48 %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49 %</w:t>
            </w:r>
          </w:p>
        </w:tc>
        <w:tc>
          <w:tcPr>
            <w:tcW w:w="13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Consumer Solutions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b/>
              </w:rPr>
            </w:pPr>
            <w:r>
              <w:rPr>
                <w:b/>
              </w:rPr>
              <w:t>52 %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51 %</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Total net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tcMar>
              <w:bottom w:w="28" w:type="dxa"/>
            </w:tcMar>
            <w:vAlign w:val="center"/>
          </w:tcPr>
          <w:p>
            <w:pPr>
              <w:pStyle w:val="TableContents"/>
              <w:bidi w:val="0"/>
              <w:spacing w:before="0" w:after="283"/>
              <w:jc w:val="right"/>
              <w:rPr>
                <w:b/>
              </w:rPr>
            </w:pPr>
            <w:r>
              <w:rPr>
                <w:b/>
              </w:rPr>
              <w:t>100 %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665" w:type="dxa"/>
            <w:tcBorders>
              <w:bottom w:val="double" w:sz="6" w:space="0" w:color="000000"/>
            </w:tcBorders>
            <w:tcMar>
              <w:bottom w:w="28" w:type="dxa"/>
            </w:tcMar>
            <w:vAlign w:val="center"/>
          </w:tcPr>
          <w:p>
            <w:pPr>
              <w:pStyle w:val="TableContents"/>
              <w:bidi w:val="0"/>
              <w:spacing w:before="0" w:after="283"/>
              <w:jc w:val="right"/>
              <w:rPr/>
            </w:pPr>
            <w:r>
              <w:rPr/>
              <w:t>100 %</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12.   Basic and Diluted Net Income (Loss) Per Share</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Basic net income or earnings per share ("EPS") is calculated by dividing the net income attributable to common stockholders by the weighted-average number of common shares outstanding during the period, without consideration for common stock equivalents.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color w:val="000000"/>
          <w:sz w:val="18"/>
          <w:bdr w:val="single" w:sz="2" w:space="1" w:color="000000"/>
        </w:rPr>
        <w:t>The following tables provide a reconciliation of the numerator and denominator of the basic and diluted EPS calculations: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9120" w:type="dxa"/>
        <w:jc w:val="left"/>
        <w:tblInd w:w="0" w:type="dxa"/>
        <w:tblLayout w:type="fixed"/>
        <w:tblCellMar>
          <w:top w:w="0" w:type="dxa"/>
          <w:left w:w="0" w:type="dxa"/>
          <w:bottom w:w="0" w:type="dxa"/>
          <w:right w:w="0" w:type="dxa"/>
        </w:tblCellMar>
      </w:tblPr>
      <w:tblGrid>
        <w:gridCol w:w="6305"/>
        <w:gridCol w:w="170"/>
        <w:gridCol w:w="545"/>
        <w:gridCol w:w="185"/>
        <w:gridCol w:w="90"/>
        <w:gridCol w:w="170"/>
        <w:gridCol w:w="545"/>
        <w:gridCol w:w="185"/>
        <w:gridCol w:w="90"/>
        <w:gridCol w:w="170"/>
        <w:gridCol w:w="530"/>
        <w:gridCol w:w="135"/>
      </w:tblGrid>
      <w:tr>
        <w:trPr/>
        <w:tc>
          <w:tcPr>
            <w:tcW w:w="63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6305" w:type="dxa"/>
            <w:tcBorders/>
            <w:vAlign w:val="center"/>
          </w:tcPr>
          <w:p>
            <w:pPr>
              <w:pStyle w:val="TableContents"/>
              <w:bidi w:val="0"/>
              <w:spacing w:before="0" w:after="283"/>
              <w:jc w:val="left"/>
              <w:rPr/>
            </w:pPr>
            <w:r>
              <w:rPr/>
              <w:t xml:space="preserve">(in millions)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center"/>
              <w:rPr/>
            </w:pPr>
            <w:r>
              <w:rPr/>
              <w:t>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center"/>
              <w:rPr/>
            </w:pPr>
            <w:r>
              <w:rPr/>
              <w:t>2023</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b/>
              </w:rPr>
            </w:pPr>
            <w:r>
              <w:rPr>
                <w:b/>
              </w:rPr>
              <w:t xml:space="preserve">Numerator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xml:space="preserve">Consolidated net income (loss) </w:t>
            </w:r>
          </w:p>
        </w:tc>
        <w:tc>
          <w:tcPr>
            <w:tcW w:w="170"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right"/>
              <w:rPr>
                <w:b/>
              </w:rPr>
            </w:pPr>
            <w:r>
              <w:rPr>
                <w:b/>
              </w:rPr>
              <w:t>(159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right"/>
              <w:rPr/>
            </w:pPr>
            <w:r>
              <w:rPr/>
              <w:t>(154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38</w:t>
            </w:r>
          </w:p>
        </w:tc>
        <w:tc>
          <w:tcPr>
            <w:tcW w:w="135"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b/>
              </w:rPr>
            </w:pPr>
            <w:r>
              <w:rPr>
                <w:b/>
              </w:rPr>
              <w:t xml:space="preserve">Denominator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Weighted average common shares outstanding - basic and dilutive</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b/>
              </w:rPr>
            </w:pPr>
            <w:r>
              <w:rPr>
                <w:b/>
              </w:rPr>
              <w:t>35.5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31.8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31.8</w:t>
            </w:r>
          </w:p>
        </w:tc>
        <w:tc>
          <w:tcPr>
            <w:tcW w:w="135"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Net income (loss) per share:</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b/>
              </w:rPr>
            </w:pPr>
            <w:r>
              <w:rPr>
                <w:b/>
              </w:rPr>
              <w:t>Basic and diluted</w:t>
            </w:r>
          </w:p>
        </w:tc>
        <w:tc>
          <w:tcPr>
            <w:tcW w:w="170"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right"/>
              <w:rPr>
                <w:b/>
              </w:rPr>
            </w:pPr>
            <w:r>
              <w:rPr>
                <w:b/>
              </w:rPr>
              <w:t>(4.47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right"/>
              <w:rPr/>
            </w:pPr>
            <w:r>
              <w:rPr/>
              <w:t>(4.84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1.19</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color w:val="000000"/>
          <w:sz w:val="18"/>
          <w:bdr w:val="single" w:sz="2" w:space="1" w:color="000000"/>
        </w:rPr>
      </w:pPr>
      <w:r>
        <w:rPr>
          <w:rFonts w:ascii="Times New Roman" w:hAnsi="Times New Roman"/>
          <w:color w:val="000000"/>
          <w:sz w:val="18"/>
          <w:bdr w:val="single" w:sz="2" w:space="1" w:color="000000"/>
        </w:rPr>
        <w:t xml:space="preserve">While there were no shares outstanding in prior periods, an allocation of 90% of the shares as of the completion of the Transaction have been provided for comparability purposes. Shares excluded from the current period calculation, as the effect of their conversion into shares of our common stock would be antidilutive, were 1.1 million.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30</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lineRule="auto" w:line="240" w:before="0" w:after="0"/>
        <w:jc w:val="left"/>
        <w:rPr>
          <w:rFonts w:ascii="Times New Roman" w:hAnsi="Times New Roman"/>
          <w:sz w:val="18"/>
          <w:bdr w:val="single" w:sz="2" w:space="1" w:color="000000"/>
        </w:rPr>
      </w:pPr>
      <w:bookmarkStart w:id="20" w:name="Item_9_CHANGES_IN_AND_DISAGREEMENTS_WITH"/>
      <w:bookmarkEnd w:id="20"/>
      <w:r>
        <w:rPr>
          <w:rFonts w:ascii="Times New Roman" w:hAnsi="Times New Roman"/>
          <w:b/>
          <w:sz w:val="18"/>
          <w:u w:val="single"/>
          <w:bdr w:val="single" w:sz="2" w:space="1" w:color="000000"/>
        </w:rPr>
        <w:t>Item 9.</w:t>
      </w:r>
      <w:r>
        <w:rPr>
          <w:rFonts w:ascii="Times New Roman" w:hAnsi="Times New Roman"/>
          <w:sz w:val="18"/>
          <w:bdr w:val="single" w:sz="2" w:space="1" w:color="000000"/>
        </w:rPr>
        <w:t>  </w:t>
      </w:r>
      <w:r>
        <w:rPr>
          <w:rFonts w:ascii="Times New Roman" w:hAnsi="Times New Roman"/>
          <w:b/>
          <w:sz w:val="18"/>
          <w:bdr w:val="single" w:sz="2" w:space="1" w:color="000000"/>
        </w:rPr>
        <w:t>CHANGES IN AND DISAGREEMENTS WITH ACCOUNTANTS ON ACCOUNTING AND FINANCIAL DISCLOSURE</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None.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bookmarkStart w:id="21" w:name="Item9A"/>
      <w:bookmarkEnd w:id="21"/>
      <w:r>
        <w:rPr>
          <w:rFonts w:ascii="Times New Roman" w:hAnsi="Times New Roman"/>
          <w:b/>
          <w:sz w:val="18"/>
          <w:u w:val="single"/>
          <w:bdr w:val="single" w:sz="2" w:space="1" w:color="000000"/>
        </w:rPr>
        <w:t>Item 9A.</w:t>
      </w:r>
      <w:r>
        <w:rPr>
          <w:rFonts w:ascii="Times New Roman" w:hAnsi="Times New Roman"/>
          <w:sz w:val="18"/>
          <w:bdr w:val="single" w:sz="2" w:space="1" w:color="000000"/>
        </w:rPr>
        <w:t>  </w:t>
      </w:r>
      <w:r>
        <w:rPr>
          <w:rFonts w:ascii="Times New Roman" w:hAnsi="Times New Roman"/>
          <w:b/>
          <w:sz w:val="18"/>
          <w:bdr w:val="single" w:sz="2" w:space="1" w:color="000000"/>
        </w:rPr>
        <w:t>CONTROLS AND PROCEDURES</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i/>
          <w:sz w:val="18"/>
          <w:bdr w:val="single" w:sz="2" w:space="1" w:color="000000"/>
        </w:rPr>
        <w:t>Evaluation of disclosure controls and procedures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We maintain “disclosure controls and procedures,” as such term is defined in Rule 13a-15(e)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As of September 27, 2025, our Chief Executive Officer and Chief Financial Officer evaluated the effectiveness of our disclosure controls and procedures. Based on this evaluation, and due to the material weaknesses in internal control over financial reporting described below, they concluded that our disclosure controls and procedures were not effective as of that date. Notwithstanding this conclusion, our management believes that the consolidated financial statements included in this Form 10-K present fairly, in all material respects, the Company’s financial position, results of operations, and cash flows in conformity with U.S. GAAP.</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i/>
          <w:sz w:val="18"/>
          <w:bdr w:val="single" w:sz="2" w:space="1" w:color="000000"/>
        </w:rPr>
        <w:t>Management’s Report on Internal Controls over Financial Reporting</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Management is responsible for establishing and maintaining adequate internal control over financial reporting, as defined in Rule 13a-15(f) under the Exchange Act. Internal control over financial reporting is a process designed to provide reasonable assurance regarding the reliability of financial reporting and the preparation of financial statements in accordance with U.S. GAAP.</w:t>
      </w:r>
    </w:p>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Under the supervision and with the participation of management, the Company assessed the effectiveness of internal control over financial reporting as of September 27, 2025, using the COSO 2013 framework. Based on this evaluation, our management concluded that internal control over financial reporting was not effective due to the material weaknesses described below.</w:t>
      </w:r>
    </w:p>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Management identified a material weakness in the design and operational effectiveness as well as the level of observable control documentation of our internal control over financial reporting associated with the purchase price allocation of the Transaction and information technology general controls related to legacy Berry U.S. IT systems, and corresponding automated and IT dependent manual business process controls. Management also identified a material weakness related to the evaluation of the realizability of deferred tax assets, partially as a result of the increased complexity following the Transaction.</w:t>
      </w:r>
    </w:p>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The effectiveness of the Company’s internal control over financial reporting as of September 27, 2025, has been audited by its independent registered public accounting firm, whose attestation report is included in this Form 10-K.</w:t>
      </w:r>
    </w:p>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i/>
          <w:sz w:val="18"/>
          <w:bdr w:val="single" w:sz="2" w:space="1" w:color="000000"/>
        </w:rPr>
      </w:pPr>
      <w:r>
        <w:rPr>
          <w:rFonts w:ascii="Times New Roman" w:hAnsi="Times New Roman"/>
          <w:i/>
          <w:sz w:val="18"/>
          <w:bdr w:val="single" w:sz="2" w:space="1" w:color="000000"/>
        </w:rPr>
        <w:t>Remediation Plan</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Management will implement additional processes, controls and procedures in order to address the material weaknesses described above through the integration of processes, implementation of policies, and improved documentation procedures as well as continue integration work to migrate IT platforms and standardize control procedures, which is expected to continue during Fiscal 2026.</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i/>
          <w:sz w:val="18"/>
          <w:bdr w:val="single" w:sz="2" w:space="1" w:color="000000"/>
        </w:rPr>
        <w:t>Changes in Internal Controls over Financial Reporting</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Other than in connection with the Transaction and the merger of Berry/Amcor, there were no changes in the Company’s internal control over financial reporting during the quarter ended September 27, 2025, that have materially affected, or are reasonably likely to materially affect, internal control over financial reporting.</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bookmarkStart w:id="22" w:name="Item_9B_OTHER_INFORMATION"/>
      <w:bookmarkEnd w:id="22"/>
      <w:r>
        <w:rPr>
          <w:rFonts w:ascii="Times New Roman" w:hAnsi="Times New Roman"/>
          <w:b/>
          <w:sz w:val="18"/>
          <w:u w:val="single"/>
          <w:bdr w:val="single" w:sz="2" w:space="1" w:color="000000"/>
        </w:rPr>
        <w:t>Item 9B.</w:t>
      </w:r>
      <w:r>
        <w:rPr>
          <w:rFonts w:ascii="Times New Roman" w:hAnsi="Times New Roman"/>
          <w:sz w:val="18"/>
          <w:bdr w:val="single" w:sz="2" w:space="1" w:color="000000"/>
        </w:rPr>
        <w:t>  </w:t>
      </w:r>
      <w:r>
        <w:rPr>
          <w:rFonts w:ascii="Times New Roman" w:hAnsi="Times New Roman"/>
          <w:b/>
          <w:sz w:val="18"/>
          <w:bdr w:val="single" w:sz="2" w:space="1" w:color="000000"/>
        </w:rPr>
        <w:t>OTHER INFORMATION</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w:t>
      </w:r>
    </w:p>
    <w:p>
      <w:pPr>
        <w:pStyle w:val="TextBody"/>
        <w:bidi w:val="0"/>
        <w:spacing w:lineRule="atLeast" w:line="180"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Rule 10b5-1 Trading Plans</w:t>
      </w:r>
    </w:p>
    <w:p>
      <w:pPr>
        <w:pStyle w:val="TextBody"/>
        <w:bidi w:val="0"/>
        <w:spacing w:lineRule="atLeast" w:line="180" w:before="0" w:after="0"/>
        <w:ind w:left="0" w:right="0" w:hanging="0"/>
        <w:jc w:val="left"/>
        <w:rPr>
          <w:bdr w:val="single" w:sz="2" w:space="1" w:color="000000"/>
        </w:rPr>
      </w:pPr>
      <w:r>
        <w:rPr>
          <w:bdr w:val="single" w:sz="2" w:space="1" w:color="000000"/>
        </w:rPr>
        <w:t> </w:t>
      </w:r>
    </w:p>
    <w:p>
      <w:pPr>
        <w:pStyle w:val="TextBody"/>
        <w:bidi w:val="0"/>
        <w:spacing w:lineRule="atLeast" w:line="180"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No officers or directors, as defined in Rule 16a-1(f), adopted, modified and/or terminated a "Rule 10b5-1 trading arrangement" or a "non-Rule 10b5-1 trading arrangement," as defined in Regulation S-K Item 408, during the fiscal year. </w:t>
      </w:r>
    </w:p>
    <w:p>
      <w:pPr>
        <w:pStyle w:val="TextBody"/>
        <w:bidi w:val="0"/>
        <w:spacing w:lineRule="auto" w:line="240" w:before="0" w:after="0"/>
        <w:jc w:val="left"/>
        <w:rPr>
          <w:bdr w:val="single" w:sz="2" w:space="1" w:color="000000"/>
        </w:rPr>
      </w:pPr>
      <w:r>
        <w:rPr>
          <w:bdr w:val="single" w:sz="2" w:space="1" w:color="000000"/>
        </w:rPr>
        <w:t>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bookmarkStart w:id="23" w:name="Item9CInspections"/>
      <w:bookmarkEnd w:id="23"/>
      <w:r>
        <w:rPr>
          <w:rFonts w:ascii="Times New Roman" w:hAnsi="Times New Roman"/>
          <w:b/>
          <w:sz w:val="18"/>
          <w:u w:val="single"/>
          <w:bdr w:val="single" w:sz="2" w:space="1" w:color="000000"/>
        </w:rPr>
        <w:t>Item 9C.</w:t>
      </w:r>
      <w:r>
        <w:rPr>
          <w:rFonts w:ascii="Times New Roman" w:hAnsi="Times New Roman"/>
          <w:sz w:val="18"/>
          <w:bdr w:val="single" w:sz="2" w:space="1" w:color="000000"/>
        </w:rPr>
        <w:t>  </w:t>
      </w:r>
      <w:r>
        <w:rPr>
          <w:rFonts w:ascii="Times New Roman" w:hAnsi="Times New Roman"/>
          <w:b/>
          <w:sz w:val="18"/>
          <w:bdr w:val="single" w:sz="2" w:space="1" w:color="000000"/>
        </w:rPr>
        <w:t>DISCLOSURE REGARDING FOREIGN JURISDICTIONS THAT PREVENT INSPECTIONS</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None.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31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lineRule="auto" w:line="240" w:before="0" w:after="0"/>
        <w:jc w:val="center"/>
        <w:rPr>
          <w:rFonts w:ascii="Times New Roman" w:hAnsi="Times New Roman"/>
          <w:sz w:val="18"/>
          <w:bdr w:val="single" w:sz="2" w:space="1" w:color="000000"/>
        </w:rPr>
      </w:pPr>
      <w:r>
        <w:rPr>
          <w:rFonts w:ascii="Times New Roman" w:hAnsi="Times New Roman"/>
          <w:b/>
          <w:sz w:val="18"/>
          <w:bdr w:val="single" w:sz="2" w:space="1" w:color="000000"/>
        </w:rPr>
        <w:t>PART III</w:t>
      </w:r>
      <w:r>
        <w:rPr>
          <w:rFonts w:ascii="Times New Roman" w:hAnsi="Times New Roman"/>
          <w:sz w:val="18"/>
          <w:bdr w:val="single" w:sz="2" w:space="1" w:color="000000"/>
        </w:rPr>
        <w:t xml:space="preserve"> </w:t>
      </w:r>
    </w:p>
    <w:p>
      <w:pPr>
        <w:pStyle w:val="TextBody"/>
        <w:bidi w:val="0"/>
        <w:spacing w:lineRule="auto" w:line="240" w:before="0" w:after="0"/>
        <w:jc w:val="center"/>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bookmarkStart w:id="24" w:name="Item10"/>
      <w:bookmarkEnd w:id="24"/>
      <w:r>
        <w:rPr>
          <w:rFonts w:ascii="Times New Roman" w:hAnsi="Times New Roman"/>
          <w:b/>
          <w:sz w:val="18"/>
          <w:u w:val="single"/>
          <w:bdr w:val="single" w:sz="2" w:space="1" w:color="000000"/>
        </w:rPr>
        <w:t>Item 10.</w:t>
      </w:r>
      <w:r>
        <w:rPr>
          <w:rFonts w:ascii="Times New Roman" w:hAnsi="Times New Roman"/>
          <w:sz w:val="18"/>
          <w:bdr w:val="single" w:sz="2" w:space="1" w:color="000000"/>
        </w:rPr>
        <w:t>  </w:t>
      </w:r>
      <w:r>
        <w:rPr>
          <w:rFonts w:ascii="Times New Roman" w:hAnsi="Times New Roman"/>
          <w:b/>
          <w:sz w:val="18"/>
          <w:bdr w:val="single" w:sz="2" w:space="1" w:color="000000"/>
        </w:rPr>
        <w:t>DIRECTORS, EXECUTIVE OFFICERS AND CORPORATE GOVERNANCE</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w:t>
      </w:r>
    </w:p>
    <w:p>
      <w:pPr>
        <w:pStyle w:val="TextBody"/>
        <w:bidi w:val="0"/>
        <w:spacing w:before="0" w:after="0"/>
        <w:ind w:left="0" w:right="0" w:hanging="0"/>
        <w:jc w:val="both"/>
        <w:rPr>
          <w:rFonts w:ascii="Times New Roman" w:hAnsi="Times New Roman"/>
          <w:sz w:val="18"/>
          <w:bdr w:val="single" w:sz="2" w:space="1" w:color="000000"/>
        </w:rPr>
      </w:pPr>
      <w:r>
        <w:rPr>
          <w:rFonts w:ascii="Times New Roman" w:hAnsi="Times New Roman"/>
          <w:sz w:val="18"/>
          <w:bdr w:val="single" w:sz="2" w:space="1" w:color="000000"/>
        </w:rPr>
        <w:t>Except as set forth below, the information required by this Item is incorporated herein by reference to our definitive Proxy Statement to be filed in connection with the 2026 Annual Meeting of Stockholders.</w:t>
      </w:r>
    </w:p>
    <w:p>
      <w:pPr>
        <w:pStyle w:val="TextBody"/>
        <w:bidi w:val="0"/>
        <w:spacing w:before="0" w:after="0"/>
        <w:ind w:left="0" w:right="0" w:hanging="0"/>
        <w:jc w:val="both"/>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 xml:space="preserve">We have a global Code of Business Conduct that applies to all directors and employees, including our Chief Executive Officer and senior financial officers. We also have adopted a supplemental Code of Business Ethics, which is in addition to the standards set by our Code of Business Conduct, in order to establish a higher level of expectation for the most senior leaders of the Company. Our Code of Business Conduct and Code of Business Ethics can be obtained, free of charge, by contacting our corporate headquarters or can be obtained from the Corporate Governance section of the Investors page on the Company’s internet site (Magnera.com).  In the event that we make changes in, or provide waivers from, the provision of the Code of Business Ethics that the SEC requires us to disclose, we will disclose these events in the corporate governance section of our website within four business days following the date of such amendment or waiver. </w:t>
      </w:r>
    </w:p>
    <w:p>
      <w:pPr>
        <w:pStyle w:val="TextBody"/>
        <w:bidi w:val="0"/>
        <w:spacing w:lineRule="auto" w:line="240" w:before="0" w:after="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The Company has adopted insider trading policies and procedures governing the purchase, sale and other dispositions of the Company’s securities by its directors, officers and employees that are reasonably designed to promote compliance with insider trading laws, rules and regulations, and any listing standards applicable to the Company. In addition, it is the Company’s practice to comply with both the letter and the spirit of applicable laws and regulations relating to insider trading.</w:t>
      </w:r>
    </w:p>
    <w:p>
      <w:pPr>
        <w:pStyle w:val="TextBody"/>
        <w:bidi w:val="0"/>
        <w:spacing w:before="0" w:after="0"/>
        <w:jc w:val="left"/>
        <w:rPr>
          <w:bdr w:val="single" w:sz="2" w:space="1" w:color="000000"/>
        </w:rPr>
      </w:pPr>
      <w:r>
        <w:rPr>
          <w:bdr w:val="single" w:sz="2" w:space="1" w:color="000000"/>
        </w:rPr>
        <w:t> </w:t>
      </w:r>
    </w:p>
    <w:p>
      <w:pPr>
        <w:pStyle w:val="TextBody"/>
        <w:bidi w:val="0"/>
        <w:spacing w:lineRule="auto" w:line="240" w:before="0" w:after="0"/>
        <w:jc w:val="left"/>
        <w:rPr>
          <w:rFonts w:ascii="Times New Roman" w:hAnsi="Times New Roman"/>
          <w:sz w:val="18"/>
          <w:bdr w:val="single" w:sz="2" w:space="1" w:color="000000"/>
        </w:rPr>
      </w:pPr>
      <w:bookmarkStart w:id="25" w:name="Item11"/>
      <w:bookmarkEnd w:id="25"/>
      <w:r>
        <w:rPr>
          <w:rFonts w:ascii="Times New Roman" w:hAnsi="Times New Roman"/>
          <w:b/>
          <w:sz w:val="18"/>
          <w:u w:val="single"/>
          <w:bdr w:val="single" w:sz="2" w:space="1" w:color="000000"/>
        </w:rPr>
        <w:t>Item 11.</w:t>
      </w:r>
      <w:r>
        <w:rPr>
          <w:rFonts w:ascii="Times New Roman" w:hAnsi="Times New Roman"/>
          <w:sz w:val="18"/>
          <w:bdr w:val="single" w:sz="2" w:space="1" w:color="000000"/>
        </w:rPr>
        <w:t>  </w:t>
      </w:r>
      <w:r>
        <w:rPr>
          <w:rFonts w:ascii="Times New Roman" w:hAnsi="Times New Roman"/>
          <w:b/>
          <w:sz w:val="18"/>
          <w:bdr w:val="single" w:sz="2" w:space="1" w:color="000000"/>
        </w:rPr>
        <w:t>EXECUTIVE COMPENSATION</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r>
        <w:rPr>
          <w:rFonts w:ascii="Times New Roman" w:hAnsi="Times New Roman"/>
          <w:spacing w:val="0"/>
          <w:sz w:val="18"/>
          <w:bdr w:val="single" w:sz="2" w:space="1" w:color="000000"/>
        </w:rPr>
        <w:t>The information required by this Item is incorporated herein by reference to our definitive Proxy Statement to be filed in connection with the 2026 Annual Meeting of Stockholders.</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bookmarkStart w:id="26" w:name="Item12"/>
      <w:bookmarkEnd w:id="26"/>
      <w:r>
        <w:rPr>
          <w:rFonts w:ascii="Times New Roman" w:hAnsi="Times New Roman"/>
          <w:b/>
          <w:sz w:val="18"/>
          <w:u w:val="single"/>
          <w:bdr w:val="single" w:sz="2" w:space="1" w:color="000000"/>
        </w:rPr>
        <w:t>Item 12.</w:t>
      </w:r>
      <w:r>
        <w:rPr>
          <w:rFonts w:ascii="Times New Roman" w:hAnsi="Times New Roman"/>
          <w:sz w:val="18"/>
          <w:bdr w:val="single" w:sz="2" w:space="1" w:color="000000"/>
        </w:rPr>
        <w:t>  </w:t>
      </w:r>
      <w:r>
        <w:rPr>
          <w:rFonts w:ascii="Times New Roman" w:hAnsi="Times New Roman"/>
          <w:b/>
          <w:sz w:val="18"/>
          <w:bdr w:val="single" w:sz="2" w:space="1" w:color="000000"/>
        </w:rPr>
        <w:t>SECURITY OWNERSHIP OF CERTAIN BENEFICIAL OWNERS AND MANAGEMENT AND RELATED STOCKHOLDER MATTERS</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r>
        <w:rPr>
          <w:rFonts w:ascii="Times New Roman" w:hAnsi="Times New Roman"/>
          <w:spacing w:val="0"/>
          <w:sz w:val="18"/>
          <w:bdr w:val="single" w:sz="2" w:space="1" w:color="000000"/>
        </w:rPr>
        <w:t>The information required by this Item is incorporated herein by reference to our definitive Proxy Statement to be filed in connection with the 2026 Annual Meeting of Stockholders.</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bookmarkStart w:id="27" w:name="Item13Relationships"/>
      <w:bookmarkEnd w:id="27"/>
      <w:r>
        <w:rPr>
          <w:rFonts w:ascii="Times New Roman" w:hAnsi="Times New Roman"/>
          <w:b/>
          <w:sz w:val="18"/>
          <w:u w:val="single"/>
          <w:bdr w:val="single" w:sz="2" w:space="1" w:color="000000"/>
        </w:rPr>
        <w:t>Item 13.</w:t>
      </w:r>
      <w:r>
        <w:rPr>
          <w:rFonts w:ascii="Times New Roman" w:hAnsi="Times New Roman"/>
          <w:sz w:val="18"/>
          <w:bdr w:val="single" w:sz="2" w:space="1" w:color="000000"/>
        </w:rPr>
        <w:t>  </w:t>
      </w:r>
      <w:r>
        <w:rPr>
          <w:rFonts w:ascii="Times New Roman" w:hAnsi="Times New Roman"/>
          <w:b/>
          <w:sz w:val="18"/>
          <w:bdr w:val="single" w:sz="2" w:space="1" w:color="000000"/>
        </w:rPr>
        <w:t>CERTAIN RELATIONSHIPS AND RELATED TRANSACTIONS AND DIRECTOR INDEPENDENCE</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tLeast" w:line="180"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The information required by this Item is incorporated herein by reference to our definitive Proxy Statement to be filed in connection with the 2026 Annual Meeting of Stockholders.</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bookmarkStart w:id="28" w:name="Item14"/>
      <w:bookmarkEnd w:id="28"/>
      <w:r>
        <w:rPr>
          <w:rFonts w:ascii="Times New Roman" w:hAnsi="Times New Roman"/>
          <w:b/>
          <w:sz w:val="18"/>
          <w:u w:val="single"/>
          <w:bdr w:val="single" w:sz="2" w:space="1" w:color="000000"/>
        </w:rPr>
        <w:t>Item 14.</w:t>
      </w:r>
      <w:r>
        <w:rPr>
          <w:rFonts w:ascii="Times New Roman" w:hAnsi="Times New Roman"/>
          <w:sz w:val="18"/>
          <w:bdr w:val="single" w:sz="2" w:space="1" w:color="000000"/>
        </w:rPr>
        <w:t>  </w:t>
      </w:r>
      <w:r>
        <w:rPr>
          <w:rFonts w:ascii="Times New Roman" w:hAnsi="Times New Roman"/>
          <w:b/>
          <w:sz w:val="18"/>
          <w:bdr w:val="single" w:sz="2" w:space="1" w:color="000000"/>
        </w:rPr>
        <w:t>PRINCIPAL ACCOUNTANT FEES AND SERVICES</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tLeast" w:line="180"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The information required by this Item is incorporated herein by reference to our definitive Proxy Statement to be filed in connection with the 2026 Annual Meeting of Stockholders.</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center"/>
        <w:rPr>
          <w:rFonts w:ascii="Times New Roman" w:hAnsi="Times New Roman"/>
          <w:sz w:val="18"/>
          <w:bdr w:val="single" w:sz="2" w:space="1" w:color="000000"/>
        </w:rPr>
      </w:pPr>
      <w:r>
        <w:rPr>
          <w:rFonts w:ascii="Times New Roman" w:hAnsi="Times New Roman"/>
          <w:b/>
          <w:sz w:val="18"/>
          <w:bdr w:val="single" w:sz="2" w:space="1" w:color="000000"/>
        </w:rPr>
        <w:t>PART IV</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bookmarkStart w:id="29" w:name="Item15"/>
      <w:bookmarkEnd w:id="29"/>
      <w:r>
        <w:rPr>
          <w:rFonts w:ascii="Times New Roman" w:hAnsi="Times New Roman"/>
          <w:b/>
          <w:sz w:val="18"/>
          <w:u w:val="single"/>
          <w:bdr w:val="single" w:sz="2" w:space="1" w:color="000000"/>
        </w:rPr>
        <w:t>Item 15.</w:t>
      </w:r>
      <w:r>
        <w:rPr>
          <w:rFonts w:ascii="Times New Roman" w:hAnsi="Times New Roman"/>
          <w:sz w:val="18"/>
          <w:bdr w:val="single" w:sz="2" w:space="1" w:color="000000"/>
        </w:rPr>
        <w:t>  </w:t>
      </w:r>
      <w:r>
        <w:rPr>
          <w:rFonts w:ascii="Times New Roman" w:hAnsi="Times New Roman"/>
          <w:b/>
          <w:sz w:val="18"/>
          <w:bdr w:val="single" w:sz="2" w:space="1" w:color="000000"/>
        </w:rPr>
        <w:t>EXHIBITS AND FINANCIAL STATEMENT SCHEDULES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r>
        <w:rPr>
          <w:rFonts w:ascii="Times New Roman" w:hAnsi="Times New Roman"/>
          <w:b/>
          <w:sz w:val="18"/>
          <w:bdr w:val="single" w:sz="2" w:space="1" w:color="000000"/>
        </w:rPr>
        <w:t>Financial Statements</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financial statements listed under Item 8 are filed as part of this report. </w:t>
      </w:r>
    </w:p>
    <w:p>
      <w:pPr>
        <w:pStyle w:val="TextBody"/>
        <w:bidi w:val="0"/>
        <w:spacing w:lineRule="auto" w:line="240" w:before="0" w:after="0"/>
        <w:jc w:val="left"/>
        <w:rPr>
          <w:bdr w:val="single" w:sz="2" w:space="1" w:color="000000"/>
        </w:rPr>
      </w:pPr>
      <w:r>
        <w:rPr>
          <w:bdr w:val="single" w:sz="2" w:space="1" w:color="000000"/>
        </w:rPr>
        <w:t xml:space="preserve">  </w:t>
      </w:r>
    </w:p>
    <w:p>
      <w:pPr>
        <w:pStyle w:val="TextBody"/>
        <w:bidi w:val="0"/>
        <w:spacing w:lineRule="auto" w:line="240" w:before="0" w:after="0"/>
        <w:jc w:val="left"/>
        <w:rPr>
          <w:rFonts w:ascii="Times New Roman" w:hAnsi="Times New Roman"/>
          <w:sz w:val="18"/>
          <w:bdr w:val="single" w:sz="2" w:space="1" w:color="000000"/>
        </w:rPr>
      </w:pPr>
      <w:r>
        <w:rPr>
          <w:rFonts w:ascii="Times New Roman" w:hAnsi="Times New Roman"/>
          <w:b/>
          <w:sz w:val="18"/>
          <w:bdr w:val="single" w:sz="2" w:space="1" w:color="000000"/>
        </w:rPr>
        <w:t>Financial Statement Schedules</w:t>
      </w:r>
      <w:r>
        <w:rPr>
          <w:rFonts w:ascii="Times New Roman" w:hAnsi="Times New Roman"/>
          <w:sz w:val="18"/>
          <w:bdr w:val="single" w:sz="2" w:space="1" w:color="000000"/>
        </w:rPr>
        <w:t xml:space="preserve"> </w:t>
      </w:r>
    </w:p>
    <w:p>
      <w:pPr>
        <w:pStyle w:val="TextBody"/>
        <w:bidi w:val="0"/>
        <w:spacing w:lineRule="auto" w:line="240" w:before="0" w:after="0"/>
        <w:jc w:val="left"/>
        <w:rPr>
          <w:bdr w:val="single" w:sz="2" w:space="1" w:color="000000"/>
        </w:rPr>
      </w:pPr>
      <w:r>
        <w:rPr>
          <w:bdr w:val="single" w:sz="2" w:space="1" w:color="000000"/>
        </w:rPr>
        <w:t> </w:t>
      </w:r>
    </w:p>
    <w:p>
      <w:pPr>
        <w:pStyle w:val="TextBody"/>
        <w:bidi w:val="0"/>
        <w:spacing w:lineRule="atLeast" w:line="180" w:before="0" w:after="0"/>
        <w:ind w:left="0" w:right="0" w:hanging="0"/>
        <w:jc w:val="left"/>
        <w:rPr>
          <w:rFonts w:ascii="Times New Roman" w:hAnsi="Times New Roman"/>
          <w:sz w:val="18"/>
        </w:rPr>
      </w:pPr>
      <w:r>
        <w:rPr>
          <w:rFonts w:ascii="Times New Roman" w:hAnsi="Times New Roman"/>
          <w:sz w:val="18"/>
          <w:shd w:fill="FFFFFF" w:val="clear"/>
        </w:rPr>
        <w:t>The information required by Schedule II is included in the Notes to Consolidated Financial Statements. All other schedules required by Item 15(b) are not applicable or not required.</w:t>
      </w:r>
      <w:r>
        <w:rPr>
          <w:rFonts w:ascii="Times New Roman" w:hAnsi="Times New Roman"/>
          <w:sz w:val="18"/>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Exhibits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The exhibits listed on the Exhibit Index immediately following the signature page of this annual report are filed as part of this report.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24"/>
          <w:bdr w:val="single" w:sz="2" w:space="1" w:color="000000"/>
        </w:rPr>
      </w:pPr>
      <w:bookmarkStart w:id="30" w:name="Item_16_10-K_Summary"/>
      <w:bookmarkEnd w:id="30"/>
      <w:r>
        <w:rPr>
          <w:rFonts w:ascii="Times New Roman" w:hAnsi="Times New Roman"/>
          <w:b/>
          <w:sz w:val="18"/>
          <w:u w:val="single"/>
          <w:bdr w:val="single" w:sz="2" w:space="1" w:color="000000"/>
        </w:rPr>
        <w:t>Item 16.</w:t>
      </w:r>
      <w:r>
        <w:rPr>
          <w:rFonts w:ascii="Times New Roman" w:hAnsi="Times New Roman"/>
          <w:sz w:val="24"/>
          <w:bdr w:val="single" w:sz="2" w:space="1" w:color="000000"/>
        </w:rPr>
        <w:t xml:space="preserve">  </w:t>
      </w:r>
      <w:r>
        <w:rPr>
          <w:rFonts w:ascii="Times New Roman" w:hAnsi="Times New Roman"/>
          <w:b/>
          <w:sz w:val="18"/>
          <w:bdr w:val="single" w:sz="2" w:space="1" w:color="000000"/>
        </w:rPr>
        <w:t>FORM 10-K SUMMARY</w:t>
      </w:r>
    </w:p>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ind w:left="0" w:right="0" w:hanging="0"/>
        <w:jc w:val="left"/>
        <w:rPr>
          <w:rFonts w:ascii="Times New Roman" w:hAnsi="Times New Roman"/>
          <w:sz w:val="18"/>
          <w:bdr w:val="single" w:sz="2" w:space="1" w:color="000000"/>
        </w:rPr>
      </w:pPr>
      <w:r>
        <w:rPr>
          <w:rFonts w:ascii="Times New Roman" w:hAnsi="Times New Roman"/>
          <w:sz w:val="18"/>
          <w:bdr w:val="single" w:sz="2" w:space="1" w:color="000000"/>
        </w:rPr>
        <w:t>None.</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32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left"/>
        <w:rPr>
          <w:rFonts w:ascii="Times New Roman" w:hAnsi="Times New Roman"/>
          <w:sz w:val="18"/>
          <w:bdr w:val="single" w:sz="2" w:space="1" w:color="000000"/>
        </w:rPr>
      </w:pPr>
      <w:r>
        <w:rPr>
          <w:rFonts w:ascii="Times New Roman" w:hAnsi="Times New Roman"/>
          <w:b/>
          <w:sz w:val="18"/>
          <w:bdr w:val="single" w:sz="2" w:space="1" w:color="000000"/>
        </w:rPr>
        <w:t>Exhibits</w:t>
      </w:r>
      <w:r>
        <w:rPr>
          <w:rFonts w:ascii="Times New Roman" w:hAnsi="Times New Roman"/>
          <w:sz w:val="18"/>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824"/>
        <w:gridCol w:w="90"/>
        <w:gridCol w:w="9291"/>
      </w:tblGrid>
      <w:tr>
        <w:trPr/>
        <w:tc>
          <w:tcPr>
            <w:tcW w:w="82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91" w:type="dxa"/>
            <w:tcBorders/>
            <w:vAlign w:val="center"/>
          </w:tcPr>
          <w:p>
            <w:pPr>
              <w:pStyle w:val="TableContents"/>
              <w:bidi w:val="0"/>
              <w:spacing w:before="0" w:after="283"/>
              <w:jc w:val="left"/>
              <w:rPr/>
            </w:pPr>
            <w:r>
              <w:rPr/>
              <w:t> </w:t>
            </w:r>
          </w:p>
        </w:tc>
      </w:tr>
      <w:tr>
        <w:trPr/>
        <w:tc>
          <w:tcPr>
            <w:tcW w:w="824" w:type="dxa"/>
            <w:tcBorders>
              <w:bottom w:val="single" w:sz="2" w:space="0" w:color="000000"/>
            </w:tcBorders>
            <w:tcMar>
              <w:bottom w:w="28" w:type="dxa"/>
            </w:tcMar>
            <w:vAlign w:val="bottom"/>
          </w:tcPr>
          <w:p>
            <w:pPr>
              <w:pStyle w:val="TableContents"/>
              <w:bidi w:val="0"/>
              <w:spacing w:before="0" w:after="0"/>
              <w:jc w:val="left"/>
              <w:rPr/>
            </w:pPr>
            <w:r>
              <w:rPr/>
              <w:t>Exhibit no.</w:t>
            </w:r>
          </w:p>
        </w:tc>
        <w:tc>
          <w:tcPr>
            <w:tcW w:w="90" w:type="dxa"/>
            <w:tcBorders/>
            <w:vAlign w:val="bottom"/>
          </w:tcPr>
          <w:p>
            <w:pPr>
              <w:pStyle w:val="TableContents"/>
              <w:bidi w:val="0"/>
              <w:spacing w:before="0" w:after="283"/>
              <w:jc w:val="left"/>
              <w:rPr/>
            </w:pPr>
            <w:r>
              <w:rPr/>
              <w:t> </w:t>
            </w:r>
          </w:p>
        </w:tc>
        <w:tc>
          <w:tcPr>
            <w:tcW w:w="9291" w:type="dxa"/>
            <w:tcBorders>
              <w:bottom w:val="single" w:sz="2" w:space="0" w:color="000000"/>
            </w:tcBorders>
            <w:tcMar>
              <w:bottom w:w="28" w:type="dxa"/>
            </w:tcMar>
            <w:vAlign w:val="bottom"/>
          </w:tcPr>
          <w:p>
            <w:pPr>
              <w:pStyle w:val="TableContents"/>
              <w:bidi w:val="0"/>
              <w:spacing w:before="0" w:after="0"/>
              <w:jc w:val="left"/>
              <w:rPr/>
            </w:pPr>
            <w:r>
              <w:rPr/>
              <w:t>Document</w:t>
            </w:r>
          </w:p>
        </w:tc>
      </w:tr>
      <w:tr>
        <w:trPr/>
        <w:tc>
          <w:tcPr>
            <w:tcW w:w="824" w:type="dxa"/>
            <w:tcBorders/>
            <w:shd w:fill="CCEEFF" w:val="clear"/>
          </w:tcPr>
          <w:p>
            <w:pPr>
              <w:pStyle w:val="TableContents"/>
              <w:bidi w:val="0"/>
              <w:spacing w:before="0" w:after="0"/>
              <w:jc w:val="left"/>
              <w:rPr/>
            </w:pPr>
            <w:r>
              <w:fldChar w:fldCharType="begin"/>
            </w:r>
            <w:r>
              <w:rPr>
                <w:rStyle w:val="InternetLink"/>
              </w:rPr>
              <w:instrText xml:space="preserve"> HYPERLINK "https://www.sec.gov/Archives/edgar/data/2021031/000110465924110293/tm2426552d2_ex99-1.htm" \l "tANNEXA"</w:instrText>
            </w:r>
            <w:r>
              <w:rPr>
                <w:rStyle w:val="InternetLink"/>
              </w:rPr>
              <w:fldChar w:fldCharType="separate"/>
            </w:r>
            <w:r>
              <w:rPr>
                <w:rStyle w:val="InternetLink"/>
              </w:rPr>
              <w:t>2.1</w:t>
            </w:r>
            <w:r>
              <w:rPr>
                <w:rStyle w:val="InternetLink"/>
              </w:rPr>
              <w:fldChar w:fldCharType="end"/>
            </w:r>
            <w:r>
              <w:rPr/>
              <w:t xml:space="preserve">† </w:t>
            </w:r>
          </w:p>
        </w:tc>
        <w:tc>
          <w:tcPr>
            <w:tcW w:w="90" w:type="dxa"/>
            <w:tcBorders/>
            <w:shd w:fill="CCEEFF" w:val="clear"/>
          </w:tcPr>
          <w:p>
            <w:pPr>
              <w:pStyle w:val="TableContents"/>
              <w:bidi w:val="0"/>
              <w:spacing w:before="0" w:after="283"/>
              <w:jc w:val="left"/>
              <w:rPr/>
            </w:pPr>
            <w:r>
              <w:rPr/>
              <w:t> </w:t>
            </w:r>
          </w:p>
        </w:tc>
        <w:tc>
          <w:tcPr>
            <w:tcW w:w="9291" w:type="dxa"/>
            <w:tcBorders/>
            <w:shd w:fill="CCEEFF" w:val="clear"/>
          </w:tcPr>
          <w:p>
            <w:pPr>
              <w:pStyle w:val="TableContents"/>
              <w:bidi w:val="0"/>
              <w:spacing w:before="0" w:after="0"/>
              <w:jc w:val="left"/>
              <w:rPr/>
            </w:pPr>
            <w:r>
              <w:rPr/>
              <w:t>RMT Transaction Agreement, dated as of February 6, 2024, by and among Glatfelter Corporation, Treasure Merger Sub I, Inc., Treasure Merger Sub II, LLC, Berry Global Group, Inc. and Treasure Holdco, Inc. (incorporated by reference to Annex A to Exhibit 99.1 of Amendment No. 2 to the Registration Statement on Form 10 filed by Treasure Holdco, Inc. on October 21, 2024).   </w:t>
            </w:r>
          </w:p>
        </w:tc>
      </w:tr>
      <w:tr>
        <w:trPr/>
        <w:tc>
          <w:tcPr>
            <w:tcW w:w="824" w:type="dxa"/>
            <w:tcBorders/>
          </w:tcPr>
          <w:p>
            <w:pPr>
              <w:pStyle w:val="TableContents"/>
              <w:bidi w:val="0"/>
              <w:spacing w:before="0" w:after="0"/>
              <w:jc w:val="left"/>
              <w:rPr/>
            </w:pPr>
            <w:r>
              <w:fldChar w:fldCharType="begin"/>
            </w:r>
            <w:r>
              <w:rPr>
                <w:rStyle w:val="InternetLink"/>
              </w:rPr>
              <w:instrText xml:space="preserve"> HYPERLINK "https://www.sec.gov/Archives/edgar/data/2021031/000110465924110293/tm2426552d2_ex99-1.htm" \l "tANNEXB"</w:instrText>
            </w:r>
            <w:r>
              <w:rPr>
                <w:rStyle w:val="InternetLink"/>
              </w:rPr>
              <w:fldChar w:fldCharType="separate"/>
            </w:r>
            <w:r>
              <w:rPr>
                <w:rStyle w:val="InternetLink"/>
              </w:rPr>
              <w:t>2.2</w:t>
            </w:r>
            <w:r>
              <w:rPr>
                <w:rStyle w:val="InternetLink"/>
              </w:rPr>
              <w:fldChar w:fldCharType="end"/>
            </w:r>
            <w:r>
              <w:rPr/>
              <w:t xml:space="preserve">† </w:t>
            </w:r>
          </w:p>
        </w:tc>
        <w:tc>
          <w:tcPr>
            <w:tcW w:w="9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 xml:space="preserve">Separation and Distribution Agreement, dated as of February 6, 2024, by and among Glatfelter Corporation, Berry Global Group, Inc.  and Treasure Holdco, Inc. (incorporated by reference to Annex B to Exhibit 99.1 of Amendment No. 2 to the Registration Statement on Form 10 filed by Treasure Holdco, Inc. on October 21, 2024). </w:t>
            </w:r>
          </w:p>
        </w:tc>
      </w:tr>
      <w:tr>
        <w:trPr/>
        <w:tc>
          <w:tcPr>
            <w:tcW w:w="824" w:type="dxa"/>
            <w:tcBorders/>
            <w:shd w:fill="CCEEFF" w:val="clear"/>
          </w:tcPr>
          <w:p>
            <w:pPr>
              <w:pStyle w:val="TableContents"/>
              <w:bidi w:val="0"/>
              <w:spacing w:before="0" w:after="0"/>
              <w:jc w:val="left"/>
              <w:rPr/>
            </w:pPr>
            <w:hyperlink r:id="rId3">
              <w:r>
                <w:rPr>
                  <w:rStyle w:val="InternetLink"/>
                </w:rPr>
                <w:t>3.1</w:t>
              </w:r>
            </w:hyperlink>
          </w:p>
        </w:tc>
        <w:tc>
          <w:tcPr>
            <w:tcW w:w="90" w:type="dxa"/>
            <w:tcBorders/>
            <w:shd w:fill="CCEEFF" w:val="clear"/>
          </w:tcPr>
          <w:p>
            <w:pPr>
              <w:pStyle w:val="TableContents"/>
              <w:bidi w:val="0"/>
              <w:spacing w:before="0" w:after="283"/>
              <w:jc w:val="left"/>
              <w:rPr/>
            </w:pPr>
            <w:r>
              <w:rPr/>
              <w:t> </w:t>
            </w:r>
          </w:p>
        </w:tc>
        <w:tc>
          <w:tcPr>
            <w:tcW w:w="9291" w:type="dxa"/>
            <w:tcBorders/>
            <w:shd w:fill="CCEEFF" w:val="clear"/>
          </w:tcPr>
          <w:p>
            <w:pPr>
              <w:pStyle w:val="TableContents"/>
              <w:bidi w:val="0"/>
              <w:spacing w:before="0" w:after="0"/>
              <w:jc w:val="left"/>
              <w:rPr/>
            </w:pPr>
            <w:r>
              <w:rPr/>
              <w:t>Amendment to the Amended and Restated Articles of Incorporation of Glatfelter Corporation (incorporated by reference to Exhibit 3.1 to the Current Report on Form 8-K filed on November 5, 2024).</w:t>
            </w:r>
          </w:p>
        </w:tc>
      </w:tr>
      <w:tr>
        <w:trPr/>
        <w:tc>
          <w:tcPr>
            <w:tcW w:w="824" w:type="dxa"/>
            <w:tcBorders/>
          </w:tcPr>
          <w:p>
            <w:pPr>
              <w:pStyle w:val="TableContents"/>
              <w:bidi w:val="0"/>
              <w:spacing w:before="0" w:after="0"/>
              <w:jc w:val="left"/>
              <w:rPr/>
            </w:pPr>
            <w:hyperlink r:id="rId4">
              <w:r>
                <w:rPr>
                  <w:rStyle w:val="InternetLink"/>
                </w:rPr>
                <w:t>3.2</w:t>
              </w:r>
            </w:hyperlink>
          </w:p>
        </w:tc>
        <w:tc>
          <w:tcPr>
            <w:tcW w:w="9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Amended and Restated Bylaws of Magnera Corporation (incorporated by reference to Exhibit 3.2 to the Current Report on Form 8-K filed on November 5, 2024.</w:t>
            </w:r>
          </w:p>
        </w:tc>
      </w:tr>
      <w:tr>
        <w:trPr/>
        <w:tc>
          <w:tcPr>
            <w:tcW w:w="824" w:type="dxa"/>
            <w:tcBorders/>
            <w:shd w:fill="CCEEFF" w:val="clear"/>
          </w:tcPr>
          <w:p>
            <w:pPr>
              <w:pStyle w:val="TableContents"/>
              <w:bidi w:val="0"/>
              <w:spacing w:before="0" w:after="0"/>
              <w:jc w:val="left"/>
              <w:rPr/>
            </w:pPr>
            <w:hyperlink r:id="rId5">
              <w:r>
                <w:rPr>
                  <w:rStyle w:val="InternetLink"/>
                </w:rPr>
                <w:t>4.1</w:t>
              </w:r>
            </w:hyperlink>
          </w:p>
        </w:tc>
        <w:tc>
          <w:tcPr>
            <w:tcW w:w="90" w:type="dxa"/>
            <w:tcBorders/>
            <w:shd w:fill="CCEEFF" w:val="clear"/>
          </w:tcPr>
          <w:p>
            <w:pPr>
              <w:pStyle w:val="TableContents"/>
              <w:bidi w:val="0"/>
              <w:spacing w:before="0" w:after="283"/>
              <w:jc w:val="left"/>
              <w:rPr/>
            </w:pPr>
            <w:r>
              <w:rPr/>
              <w:t> </w:t>
            </w:r>
          </w:p>
        </w:tc>
        <w:tc>
          <w:tcPr>
            <w:tcW w:w="9291" w:type="dxa"/>
            <w:tcBorders/>
            <w:shd w:fill="CCEEFF" w:val="clear"/>
          </w:tcPr>
          <w:p>
            <w:pPr>
              <w:pStyle w:val="TableContents"/>
              <w:bidi w:val="0"/>
              <w:spacing w:before="0" w:after="0"/>
              <w:jc w:val="left"/>
              <w:rPr/>
            </w:pPr>
            <w:r>
              <w:rPr/>
              <w:t>Indenture, by and between Treasure Escrow Corporation and U.S. Bank Trust Company, National Association, as Trustee and Collateral Agent, relating to the 7.250% Senior Secured Notes due 2031, dated October 25, 2024 (incorporated by reference to Exhibit 4.1 to the Current Report on Form 8-K filed on November 5, 2024.</w:t>
            </w:r>
          </w:p>
        </w:tc>
      </w:tr>
      <w:tr>
        <w:trPr/>
        <w:tc>
          <w:tcPr>
            <w:tcW w:w="824" w:type="dxa"/>
            <w:tcBorders/>
          </w:tcPr>
          <w:p>
            <w:pPr>
              <w:pStyle w:val="TableContents"/>
              <w:bidi w:val="0"/>
              <w:spacing w:before="0" w:after="0"/>
              <w:jc w:val="left"/>
              <w:rPr/>
            </w:pPr>
            <w:hyperlink r:id="rId6">
              <w:r>
                <w:rPr>
                  <w:rStyle w:val="InternetLink"/>
                </w:rPr>
                <w:t>4.2</w:t>
              </w:r>
            </w:hyperlink>
          </w:p>
        </w:tc>
        <w:tc>
          <w:tcPr>
            <w:tcW w:w="9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First Supplemental Indenture, by and among Treasure Escrow Corporation, Treasure Merger Sub II, LLC and U.S. Bank Trust Company, National Association, as Trustee and Collateral Agent, relating to the 7.250% Senior Secured Notes due 2031, dated November 4, 2024 (incorporated by reference to Exhibit 4.2 to the Current Report on Form 8-K filed on November 5, 2024).</w:t>
            </w:r>
          </w:p>
        </w:tc>
      </w:tr>
      <w:tr>
        <w:trPr/>
        <w:tc>
          <w:tcPr>
            <w:tcW w:w="824" w:type="dxa"/>
            <w:tcBorders/>
            <w:shd w:fill="CCEEFF" w:val="clear"/>
          </w:tcPr>
          <w:p>
            <w:pPr>
              <w:pStyle w:val="TableContents"/>
              <w:bidi w:val="0"/>
              <w:spacing w:before="0" w:after="0"/>
              <w:jc w:val="left"/>
              <w:rPr/>
            </w:pPr>
            <w:hyperlink r:id="rId7">
              <w:r>
                <w:rPr>
                  <w:rStyle w:val="InternetLink"/>
                </w:rPr>
                <w:t>4.3</w:t>
              </w:r>
            </w:hyperlink>
          </w:p>
        </w:tc>
        <w:tc>
          <w:tcPr>
            <w:tcW w:w="90" w:type="dxa"/>
            <w:tcBorders/>
            <w:shd w:fill="CCEEFF" w:val="clear"/>
          </w:tcPr>
          <w:p>
            <w:pPr>
              <w:pStyle w:val="TableContents"/>
              <w:bidi w:val="0"/>
              <w:spacing w:before="0" w:after="283"/>
              <w:jc w:val="left"/>
              <w:rPr/>
            </w:pPr>
            <w:r>
              <w:rPr/>
              <w:t> </w:t>
            </w:r>
          </w:p>
        </w:tc>
        <w:tc>
          <w:tcPr>
            <w:tcW w:w="9291" w:type="dxa"/>
            <w:tcBorders/>
            <w:shd w:fill="CCEEFF" w:val="clear"/>
          </w:tcPr>
          <w:p>
            <w:pPr>
              <w:pStyle w:val="TableContents"/>
              <w:bidi w:val="0"/>
              <w:spacing w:before="0" w:after="0"/>
              <w:jc w:val="left"/>
              <w:rPr/>
            </w:pPr>
            <w:r>
              <w:rPr/>
              <w:t xml:space="preserve">Second Supplemental Indenture, by and among Magnera Corporation, each of the parties identified as a Subsidiary Guarantor thereon, Treasure Merger Sub II, LLC and U.S. Bank Trust Company, National Association, as Trustee and Collateral Agent, relating to the 7.250% Senior Secured Notes due 2031, dated November 4, 2024 (incorporated by reference to Exhibit 4.3 to the Current Report on Form 8-K filed on November 5, 2024). </w:t>
            </w:r>
          </w:p>
        </w:tc>
      </w:tr>
      <w:tr>
        <w:trPr/>
        <w:tc>
          <w:tcPr>
            <w:tcW w:w="824" w:type="dxa"/>
            <w:tcBorders/>
          </w:tcPr>
          <w:p>
            <w:pPr>
              <w:pStyle w:val="TableContents"/>
              <w:bidi w:val="0"/>
              <w:spacing w:before="0" w:after="0"/>
              <w:jc w:val="left"/>
              <w:rPr/>
            </w:pPr>
            <w:hyperlink r:id="rId8">
              <w:r>
                <w:rPr>
                  <w:rStyle w:val="InternetLink"/>
                </w:rPr>
                <w:t>4.4</w:t>
              </w:r>
            </w:hyperlink>
          </w:p>
        </w:tc>
        <w:tc>
          <w:tcPr>
            <w:tcW w:w="9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Third Supplemental Indenture, by and among Magnera Corporation, each of the parties identified as a Subsidiary Guarantor thereon and Wilmington Trust, National Association, as trustee, relating to the 4.750% Senior Notes due 2029, dated November 4, 2024 (incorporated by reference to Exhibit 4.4 to the Current Report on Form 8-K filed on November 5, 2024).</w:t>
            </w:r>
          </w:p>
        </w:tc>
      </w:tr>
      <w:tr>
        <w:trPr/>
        <w:tc>
          <w:tcPr>
            <w:tcW w:w="824" w:type="dxa"/>
            <w:tcBorders/>
            <w:shd w:fill="CCEEFF" w:val="clear"/>
          </w:tcPr>
          <w:p>
            <w:pPr>
              <w:pStyle w:val="TableContents"/>
              <w:bidi w:val="0"/>
              <w:spacing w:before="0" w:after="0"/>
              <w:jc w:val="left"/>
              <w:rPr/>
            </w:pPr>
            <w:hyperlink r:id="rId9">
              <w:r>
                <w:rPr>
                  <w:rStyle w:val="InternetLink"/>
                </w:rPr>
                <w:t>10.1</w:t>
              </w:r>
            </w:hyperlink>
            <w:r>
              <w:rPr/>
              <w:t xml:space="preserve">† </w:t>
            </w:r>
          </w:p>
        </w:tc>
        <w:tc>
          <w:tcPr>
            <w:tcW w:w="90" w:type="dxa"/>
            <w:tcBorders/>
            <w:shd w:fill="CCEEFF" w:val="clear"/>
          </w:tcPr>
          <w:p>
            <w:pPr>
              <w:pStyle w:val="TableContents"/>
              <w:bidi w:val="0"/>
              <w:spacing w:before="0" w:after="283"/>
              <w:jc w:val="left"/>
              <w:rPr/>
            </w:pPr>
            <w:r>
              <w:rPr/>
              <w:t> </w:t>
            </w:r>
          </w:p>
        </w:tc>
        <w:tc>
          <w:tcPr>
            <w:tcW w:w="9291" w:type="dxa"/>
            <w:tcBorders/>
            <w:shd w:fill="CCEEFF" w:val="clear"/>
          </w:tcPr>
          <w:p>
            <w:pPr>
              <w:pStyle w:val="TableContents"/>
              <w:bidi w:val="0"/>
              <w:spacing w:before="0" w:after="0"/>
              <w:jc w:val="left"/>
              <w:rPr/>
            </w:pPr>
            <w:r>
              <w:rPr/>
              <w:t xml:space="preserve">Employee Matters Agreement, dated as of February 6, 2024, by and among Glatfelter Corporation, Berry Global Group, Inc. and Treasure Holdco, Inc. (incorporated by reference to Exhibit 10.1 to the Current Report on Form 8-K filed by Glatfelter Corporation on February 12, 2024). </w:t>
            </w:r>
          </w:p>
        </w:tc>
      </w:tr>
      <w:tr>
        <w:trPr/>
        <w:tc>
          <w:tcPr>
            <w:tcW w:w="824" w:type="dxa"/>
            <w:tcBorders/>
          </w:tcPr>
          <w:p>
            <w:pPr>
              <w:pStyle w:val="TableContents"/>
              <w:bidi w:val="0"/>
              <w:spacing w:before="0" w:after="0"/>
              <w:jc w:val="left"/>
              <w:rPr/>
            </w:pPr>
            <w:hyperlink r:id="rId10">
              <w:r>
                <w:rPr>
                  <w:rStyle w:val="InternetLink"/>
                </w:rPr>
                <w:t>10.2</w:t>
              </w:r>
            </w:hyperlink>
          </w:p>
        </w:tc>
        <w:tc>
          <w:tcPr>
            <w:tcW w:w="9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 xml:space="preserve">Tax Matters Agreement, dated as of February 6, 2024, by and among Glatfelter Corporation, Berry Global Group, Inc. and Treasure Holdco, Inc. (incorporated by reference to Exhibit 10.2 to the Current Report on Form 8-K filed by Glatfelter Corporation on February 12, 2024). </w:t>
            </w:r>
          </w:p>
        </w:tc>
      </w:tr>
      <w:tr>
        <w:trPr/>
        <w:tc>
          <w:tcPr>
            <w:tcW w:w="824" w:type="dxa"/>
            <w:tcBorders/>
            <w:shd w:fill="CCEEFF" w:val="clear"/>
          </w:tcPr>
          <w:p>
            <w:pPr>
              <w:pStyle w:val="TableContents"/>
              <w:bidi w:val="0"/>
              <w:spacing w:before="0" w:after="0"/>
              <w:jc w:val="left"/>
              <w:rPr/>
            </w:pPr>
            <w:hyperlink r:id="rId11">
              <w:r>
                <w:rPr>
                  <w:rStyle w:val="InternetLink"/>
                </w:rPr>
                <w:t>10.3</w:t>
              </w:r>
            </w:hyperlink>
          </w:p>
        </w:tc>
        <w:tc>
          <w:tcPr>
            <w:tcW w:w="90" w:type="dxa"/>
            <w:tcBorders/>
            <w:shd w:fill="CCEEFF" w:val="clear"/>
          </w:tcPr>
          <w:p>
            <w:pPr>
              <w:pStyle w:val="TableContents"/>
              <w:bidi w:val="0"/>
              <w:spacing w:before="0" w:after="283"/>
              <w:jc w:val="left"/>
              <w:rPr/>
            </w:pPr>
            <w:r>
              <w:rPr/>
              <w:t> </w:t>
            </w:r>
          </w:p>
        </w:tc>
        <w:tc>
          <w:tcPr>
            <w:tcW w:w="9291" w:type="dxa"/>
            <w:tcBorders/>
            <w:shd w:fill="CCEEFF" w:val="clear"/>
          </w:tcPr>
          <w:p>
            <w:pPr>
              <w:pStyle w:val="TableContents"/>
              <w:bidi w:val="0"/>
              <w:spacing w:before="0" w:after="0"/>
              <w:jc w:val="left"/>
              <w:rPr/>
            </w:pPr>
            <w:r>
              <w:rPr/>
              <w:t xml:space="preserve">Amendment to Tax Matters Agreement, dated as of October 21, 2024, by and among Glatfelter Corporation, Berry Global Group, Inc. and Treasure Holdco, Inc. (incorporated by reference to Exhibit 10.3 to Amendment No. 2 to the Registration Statement on Form 10 filed by Treasure Holdco, Inc. on October 21, 2024). </w:t>
            </w:r>
          </w:p>
        </w:tc>
      </w:tr>
      <w:tr>
        <w:trPr/>
        <w:tc>
          <w:tcPr>
            <w:tcW w:w="824" w:type="dxa"/>
            <w:tcBorders/>
          </w:tcPr>
          <w:p>
            <w:pPr>
              <w:pStyle w:val="TableContents"/>
              <w:bidi w:val="0"/>
              <w:spacing w:before="0" w:after="0"/>
              <w:jc w:val="left"/>
              <w:rPr/>
            </w:pPr>
            <w:hyperlink r:id="rId12">
              <w:r>
                <w:rPr>
                  <w:rStyle w:val="InternetLink"/>
                </w:rPr>
                <w:t>10.4</w:t>
              </w:r>
            </w:hyperlink>
          </w:p>
        </w:tc>
        <w:tc>
          <w:tcPr>
            <w:tcW w:w="9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 xml:space="preserve">Transition Services Agreement, dated as of November 4, 2024, by and between Berry Global, Inc., and Treasure Merger Sub II, LLC (incorporated by reference to Exhibit 10.1 to the Current Report on Form 8-K filed on November 5, 2024). </w:t>
            </w:r>
          </w:p>
        </w:tc>
      </w:tr>
      <w:tr>
        <w:trPr/>
        <w:tc>
          <w:tcPr>
            <w:tcW w:w="824" w:type="dxa"/>
            <w:tcBorders/>
            <w:shd w:fill="CCEEFF" w:val="clear"/>
          </w:tcPr>
          <w:p>
            <w:pPr>
              <w:pStyle w:val="TableContents"/>
              <w:bidi w:val="0"/>
              <w:spacing w:before="0" w:after="0"/>
              <w:jc w:val="left"/>
              <w:rPr/>
            </w:pPr>
            <w:hyperlink r:id="rId13">
              <w:r>
                <w:rPr>
                  <w:rStyle w:val="InternetLink"/>
                </w:rPr>
                <w:t>10.5</w:t>
              </w:r>
            </w:hyperlink>
          </w:p>
        </w:tc>
        <w:tc>
          <w:tcPr>
            <w:tcW w:w="90" w:type="dxa"/>
            <w:tcBorders/>
            <w:shd w:fill="CCEEFF" w:val="clear"/>
          </w:tcPr>
          <w:p>
            <w:pPr>
              <w:pStyle w:val="TableContents"/>
              <w:bidi w:val="0"/>
              <w:spacing w:before="0" w:after="283"/>
              <w:jc w:val="left"/>
              <w:rPr/>
            </w:pPr>
            <w:r>
              <w:rPr/>
              <w:t> </w:t>
            </w:r>
          </w:p>
        </w:tc>
        <w:tc>
          <w:tcPr>
            <w:tcW w:w="9291" w:type="dxa"/>
            <w:tcBorders/>
            <w:shd w:fill="CCEEFF" w:val="clear"/>
          </w:tcPr>
          <w:p>
            <w:pPr>
              <w:pStyle w:val="TableContents"/>
              <w:bidi w:val="0"/>
              <w:spacing w:before="0" w:after="0"/>
              <w:jc w:val="left"/>
              <w:rPr/>
            </w:pPr>
            <w:r>
              <w:rPr/>
              <w:t xml:space="preserve">First Amendment to the Employee Matters Agreement, dated as of July 8, 2024, by and among Glatfelter Corporation, Berry Global Group, Inc. and Treasure Holdco, Inc. (incorporated by reference to Exhibit 10.4 to the Registration Statement on Form 10 filed by Treasure Holdco, Inc. on August 23, 2024). </w:t>
            </w:r>
          </w:p>
        </w:tc>
      </w:tr>
      <w:tr>
        <w:trPr/>
        <w:tc>
          <w:tcPr>
            <w:tcW w:w="824" w:type="dxa"/>
            <w:tcBorders/>
          </w:tcPr>
          <w:p>
            <w:pPr>
              <w:pStyle w:val="TableContents"/>
              <w:bidi w:val="0"/>
              <w:spacing w:before="0" w:after="0"/>
              <w:jc w:val="left"/>
              <w:rPr/>
            </w:pPr>
            <w:hyperlink r:id="rId14">
              <w:r>
                <w:rPr>
                  <w:rStyle w:val="InternetLink"/>
                </w:rPr>
                <w:t>10.6</w:t>
              </w:r>
            </w:hyperlink>
          </w:p>
        </w:tc>
        <w:tc>
          <w:tcPr>
            <w:tcW w:w="9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 xml:space="preserve">Second Amendment to the Employee Matters Agreement, dated as of September 25, 2024, by and among Glatfelter Corporation, Berry Global Group, Inc. and Treasure Holdco, Inc. (incorporated by reference to Exhibit 10.47 to the Annual Report on Form 10-K filed by Berry Global Group, Inc. on November 26, 2024). </w:t>
            </w:r>
          </w:p>
        </w:tc>
      </w:tr>
      <w:tr>
        <w:trPr/>
        <w:tc>
          <w:tcPr>
            <w:tcW w:w="824" w:type="dxa"/>
            <w:tcBorders/>
            <w:shd w:fill="CCEEFF" w:val="clear"/>
          </w:tcPr>
          <w:p>
            <w:pPr>
              <w:pStyle w:val="TableContents"/>
              <w:bidi w:val="0"/>
              <w:spacing w:before="0" w:after="0"/>
              <w:jc w:val="left"/>
              <w:rPr/>
            </w:pPr>
            <w:r>
              <w:fldChar w:fldCharType="begin"/>
            </w:r>
            <w:r>
              <w:rPr>
                <w:rStyle w:val="InternetLink"/>
              </w:rPr>
              <w:instrText xml:space="preserve"> HYPERLINK "https://www.sec.gov/Archives/edgar/data/2021031/000110465924092250/tm2412884d9_ex99-1.htm" \l "tANNEXE"</w:instrText>
            </w:r>
            <w:r>
              <w:rPr>
                <w:rStyle w:val="InternetLink"/>
              </w:rPr>
              <w:fldChar w:fldCharType="separate"/>
            </w:r>
            <w:r>
              <w:rPr>
                <w:rStyle w:val="InternetLink"/>
              </w:rPr>
              <w:t>10.7</w:t>
            </w:r>
            <w:r>
              <w:rPr>
                <w:rStyle w:val="InternetLink"/>
              </w:rPr>
              <w:fldChar w:fldCharType="end"/>
            </w:r>
            <w:r>
              <w:rPr/>
              <w:t xml:space="preserve">+ </w:t>
            </w:r>
          </w:p>
        </w:tc>
        <w:tc>
          <w:tcPr>
            <w:tcW w:w="90" w:type="dxa"/>
            <w:tcBorders/>
            <w:shd w:fill="CCEEFF" w:val="clear"/>
          </w:tcPr>
          <w:p>
            <w:pPr>
              <w:pStyle w:val="TableContents"/>
              <w:bidi w:val="0"/>
              <w:spacing w:before="0" w:after="283"/>
              <w:jc w:val="left"/>
              <w:rPr/>
            </w:pPr>
            <w:r>
              <w:rPr/>
              <w:t> </w:t>
            </w:r>
          </w:p>
        </w:tc>
        <w:tc>
          <w:tcPr>
            <w:tcW w:w="9291" w:type="dxa"/>
            <w:tcBorders/>
            <w:shd w:fill="CCEEFF" w:val="clear"/>
          </w:tcPr>
          <w:p>
            <w:pPr>
              <w:pStyle w:val="TableContents"/>
              <w:bidi w:val="0"/>
              <w:spacing w:before="0" w:after="0"/>
              <w:jc w:val="left"/>
              <w:rPr/>
            </w:pPr>
            <w:r>
              <w:rPr/>
              <w:t xml:space="preserve">Magnera Corporation 2024 Omnibus Incentive Plan (incorporated by reference to Annex E to Exhibit 99.1 of Amendment No. 2 to the Registration Statement on Form 10 filed by Treasure Holdco, Inc. on October 21, 2024). </w:t>
            </w:r>
          </w:p>
        </w:tc>
      </w:tr>
      <w:tr>
        <w:trPr/>
        <w:tc>
          <w:tcPr>
            <w:tcW w:w="824" w:type="dxa"/>
            <w:tcBorders/>
          </w:tcPr>
          <w:p>
            <w:pPr>
              <w:pStyle w:val="TableContents"/>
              <w:bidi w:val="0"/>
              <w:spacing w:before="0" w:after="0"/>
              <w:jc w:val="left"/>
              <w:rPr/>
            </w:pPr>
            <w:hyperlink r:id="rId15">
              <w:r>
                <w:rPr>
                  <w:rStyle w:val="InternetLink"/>
                </w:rPr>
                <w:t>10.8</w:t>
              </w:r>
            </w:hyperlink>
          </w:p>
        </w:tc>
        <w:tc>
          <w:tcPr>
            <w:tcW w:w="9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Term Loan Credit Agreement, dated November 4, 2024, by and among Treasure Holdco, Inc., the lenders party thereto and Citibank, N.A. as administrative agent and collateral agent for the lenders (incorporated by reference to Exhibit 10.2 to the Current Report on Form 8-K filed on November 5, 2025).</w:t>
            </w:r>
          </w:p>
        </w:tc>
      </w:tr>
      <w:tr>
        <w:trPr/>
        <w:tc>
          <w:tcPr>
            <w:tcW w:w="824" w:type="dxa"/>
            <w:tcBorders/>
            <w:shd w:fill="CCEEFF" w:val="clear"/>
          </w:tcPr>
          <w:p>
            <w:pPr>
              <w:pStyle w:val="TableContents"/>
              <w:bidi w:val="0"/>
              <w:spacing w:before="0" w:after="0"/>
              <w:jc w:val="left"/>
              <w:rPr/>
            </w:pPr>
            <w:hyperlink r:id="rId16">
              <w:r>
                <w:rPr>
                  <w:rStyle w:val="InternetLink"/>
                </w:rPr>
                <w:t>10.9</w:t>
              </w:r>
            </w:hyperlink>
          </w:p>
        </w:tc>
        <w:tc>
          <w:tcPr>
            <w:tcW w:w="90" w:type="dxa"/>
            <w:tcBorders/>
            <w:shd w:fill="CCEEFF" w:val="clear"/>
          </w:tcPr>
          <w:p>
            <w:pPr>
              <w:pStyle w:val="TableContents"/>
              <w:bidi w:val="0"/>
              <w:spacing w:before="0" w:after="283"/>
              <w:jc w:val="left"/>
              <w:rPr/>
            </w:pPr>
            <w:r>
              <w:rPr/>
              <w:t> </w:t>
            </w:r>
          </w:p>
        </w:tc>
        <w:tc>
          <w:tcPr>
            <w:tcW w:w="9291" w:type="dxa"/>
            <w:tcBorders/>
            <w:shd w:fill="CCEEFF" w:val="clear"/>
          </w:tcPr>
          <w:p>
            <w:pPr>
              <w:pStyle w:val="TableContents"/>
              <w:bidi w:val="0"/>
              <w:spacing w:before="0" w:after="0"/>
              <w:jc w:val="left"/>
              <w:rPr/>
            </w:pPr>
            <w:r>
              <w:rPr/>
              <w:t>Asset-Based Revolving Credit Agreement, dated November 4, 2024, by and among Treasure Holdco, Inc., Magnera Corporation, certain subsidiaries of Magnera, the lenders party thereto and Wells Fargo Bank, National Association as administrative agent, collateral agent and U.K. security trustee for the lenders (incorporated by reference to Exhibit 10.3 to the Current Report on Form 8-K filed on November 4, 2024).</w:t>
            </w:r>
          </w:p>
        </w:tc>
      </w:tr>
      <w:tr>
        <w:trPr/>
        <w:tc>
          <w:tcPr>
            <w:tcW w:w="824" w:type="dxa"/>
            <w:tcBorders/>
          </w:tcPr>
          <w:p>
            <w:pPr>
              <w:pStyle w:val="TableContents"/>
              <w:bidi w:val="0"/>
              <w:spacing w:before="0" w:after="0"/>
              <w:jc w:val="left"/>
              <w:rPr/>
            </w:pPr>
            <w:hyperlink w:anchor="exhibit10-10.htm">
              <w:r>
                <w:rPr>
                  <w:rStyle w:val="InternetLink"/>
                </w:rPr>
                <w:t>10.10</w:t>
              </w:r>
            </w:hyperlink>
            <w:r>
              <w:rPr/>
              <w:t>*</w:t>
            </w:r>
          </w:p>
        </w:tc>
        <w:tc>
          <w:tcPr>
            <w:tcW w:w="9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 xml:space="preserve">Amendment No. 1 to the Asset-Based Revolving Credit Agreement, dated November 4, 2024. </w:t>
            </w:r>
          </w:p>
        </w:tc>
      </w:tr>
      <w:tr>
        <w:trPr/>
        <w:tc>
          <w:tcPr>
            <w:tcW w:w="824" w:type="dxa"/>
            <w:tcBorders/>
            <w:shd w:fill="CCEEFF" w:val="clear"/>
          </w:tcPr>
          <w:p>
            <w:pPr>
              <w:pStyle w:val="TableContents"/>
              <w:bidi w:val="0"/>
              <w:spacing w:before="0" w:after="0"/>
              <w:jc w:val="left"/>
              <w:rPr/>
            </w:pPr>
            <w:hyperlink r:id="rId17">
              <w:r>
                <w:rPr>
                  <w:rStyle w:val="InternetLink"/>
                </w:rPr>
                <w:t>10.11</w:t>
              </w:r>
            </w:hyperlink>
          </w:p>
        </w:tc>
        <w:tc>
          <w:tcPr>
            <w:tcW w:w="90" w:type="dxa"/>
            <w:tcBorders/>
            <w:shd w:fill="CCEEFF" w:val="clear"/>
          </w:tcPr>
          <w:p>
            <w:pPr>
              <w:pStyle w:val="TableContents"/>
              <w:bidi w:val="0"/>
              <w:spacing w:before="0" w:after="283"/>
              <w:jc w:val="left"/>
              <w:rPr/>
            </w:pPr>
            <w:r>
              <w:rPr/>
              <w:t> </w:t>
            </w:r>
          </w:p>
        </w:tc>
        <w:tc>
          <w:tcPr>
            <w:tcW w:w="9291" w:type="dxa"/>
            <w:tcBorders/>
            <w:shd w:fill="CCEEFF" w:val="clear"/>
          </w:tcPr>
          <w:p>
            <w:pPr>
              <w:pStyle w:val="TableContents"/>
              <w:bidi w:val="0"/>
              <w:spacing w:before="0" w:after="0"/>
              <w:jc w:val="left"/>
              <w:rPr/>
            </w:pPr>
            <w:r>
              <w:rPr/>
              <w:t>Magnera Corporation 2024 Omnibus Incentive Plan (incorporated by reference to Exhibit 10.5 to the Current Report on Form 8-K filed on November 5, 2024).</w:t>
            </w:r>
          </w:p>
        </w:tc>
      </w:tr>
      <w:tr>
        <w:trPr/>
        <w:tc>
          <w:tcPr>
            <w:tcW w:w="824" w:type="dxa"/>
            <w:tcBorders/>
          </w:tcPr>
          <w:p>
            <w:pPr>
              <w:pStyle w:val="TableContents"/>
              <w:bidi w:val="0"/>
              <w:spacing w:before="0" w:after="0"/>
              <w:jc w:val="left"/>
              <w:rPr/>
            </w:pPr>
            <w:hyperlink r:id="rId18">
              <w:r>
                <w:rPr>
                  <w:rStyle w:val="InternetLink"/>
                </w:rPr>
                <w:t>10.12</w:t>
              </w:r>
            </w:hyperlink>
          </w:p>
        </w:tc>
        <w:tc>
          <w:tcPr>
            <w:tcW w:w="9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Form of Restricted Stock Unit Award Agreement (incorporated by reference to Exhibit 10.6 to the Current Report on Form 8-K filed on November 5, 2024).</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33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lineRule="atLeast" w:line="180" w:before="0" w:after="0"/>
        <w:ind w:left="0" w:right="630" w:hanging="0"/>
        <w:jc w:val="left"/>
        <w:rPr>
          <w:bdr w:val="single" w:sz="2" w:space="1" w:color="000000"/>
        </w:rPr>
      </w:pPr>
      <w:r>
        <w:rPr>
          <w:bdr w:val="single" w:sz="2" w:space="1" w:color="000000"/>
        </w:rPr>
        <w:t xml:space="preserve">  </w:t>
      </w:r>
    </w:p>
    <w:tbl>
      <w:tblPr>
        <w:tblW w:w="5000" w:type="pct"/>
        <w:jc w:val="left"/>
        <w:tblInd w:w="0" w:type="dxa"/>
        <w:tblLayout w:type="fixed"/>
        <w:tblCellMar>
          <w:top w:w="0" w:type="dxa"/>
          <w:left w:w="0" w:type="dxa"/>
          <w:bottom w:w="0" w:type="dxa"/>
          <w:right w:w="0" w:type="dxa"/>
        </w:tblCellMar>
      </w:tblPr>
      <w:tblGrid>
        <w:gridCol w:w="786"/>
        <w:gridCol w:w="90"/>
        <w:gridCol w:w="9329"/>
      </w:tblGrid>
      <w:tr>
        <w:trPr/>
        <w:tc>
          <w:tcPr>
            <w:tcW w:w="7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r>
      <w:tr>
        <w:trPr/>
        <w:tc>
          <w:tcPr>
            <w:tcW w:w="786" w:type="dxa"/>
            <w:tcBorders/>
            <w:shd w:fill="CCEEFF" w:val="clear"/>
          </w:tcPr>
          <w:p>
            <w:pPr>
              <w:pStyle w:val="TableContents"/>
              <w:bidi w:val="0"/>
              <w:spacing w:before="0" w:after="0"/>
              <w:ind w:left="0" w:right="0" w:hanging="0"/>
              <w:jc w:val="left"/>
              <w:rPr/>
            </w:pPr>
            <w:hyperlink r:id="rId19">
              <w:r>
                <w:rPr>
                  <w:rStyle w:val="InternetLink"/>
                </w:rPr>
                <w:t>10.13</w:t>
              </w:r>
            </w:hyperlink>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Form of Performance Share Award Agreement (incorporated by reference to Exhibit 10.3 to the Current Report on Form 8-K filed on December 20, 2024).</w:t>
            </w:r>
          </w:p>
        </w:tc>
      </w:tr>
      <w:tr>
        <w:trPr/>
        <w:tc>
          <w:tcPr>
            <w:tcW w:w="786" w:type="dxa"/>
            <w:tcBorders/>
          </w:tcPr>
          <w:p>
            <w:pPr>
              <w:pStyle w:val="TableContents"/>
              <w:bidi w:val="0"/>
              <w:spacing w:before="0" w:after="0"/>
              <w:ind w:left="0" w:right="0" w:hanging="0"/>
              <w:jc w:val="left"/>
              <w:rPr/>
            </w:pPr>
            <w:hyperlink r:id="rId20">
              <w:r>
                <w:rPr>
                  <w:rStyle w:val="InternetLink"/>
                </w:rPr>
                <w:t>10.14</w:t>
              </w:r>
            </w:hyperlink>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0"/>
              <w:ind w:left="0" w:right="0" w:hanging="0"/>
              <w:jc w:val="left"/>
              <w:rPr/>
            </w:pPr>
            <w:r>
              <w:rPr/>
              <w:t>Form of Special Restricted Stock Unit Award Agreement (incorporated by reference to Exhibit 10.8 to the Current Report on Form 8-K filed on November 5, 2024).</w:t>
            </w:r>
          </w:p>
        </w:tc>
      </w:tr>
      <w:tr>
        <w:trPr/>
        <w:tc>
          <w:tcPr>
            <w:tcW w:w="786" w:type="dxa"/>
            <w:tcBorders/>
            <w:shd w:fill="CCEEFF" w:val="clear"/>
          </w:tcPr>
          <w:p>
            <w:pPr>
              <w:pStyle w:val="TableContents"/>
              <w:bidi w:val="0"/>
              <w:spacing w:before="0" w:after="0"/>
              <w:ind w:left="0" w:right="0" w:hanging="0"/>
              <w:jc w:val="left"/>
              <w:rPr/>
            </w:pPr>
            <w:hyperlink r:id="rId21">
              <w:r>
                <w:rPr>
                  <w:rStyle w:val="InternetLink"/>
                </w:rPr>
                <w:t>10.15</w:t>
              </w:r>
            </w:hyperlink>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Form of Director Restricted Stock Unit Award Agreement (incorporated by reference to Exhibit 10.9 to the Current Report on Form 8-K filed on November 5, 2024).</w:t>
            </w:r>
          </w:p>
        </w:tc>
      </w:tr>
      <w:tr>
        <w:trPr/>
        <w:tc>
          <w:tcPr>
            <w:tcW w:w="786" w:type="dxa"/>
            <w:tcBorders/>
          </w:tcPr>
          <w:p>
            <w:pPr>
              <w:pStyle w:val="TableContents"/>
              <w:bidi w:val="0"/>
              <w:spacing w:before="0" w:after="0"/>
              <w:ind w:left="0" w:right="0" w:hanging="0"/>
              <w:jc w:val="left"/>
              <w:rPr/>
            </w:pPr>
            <w:hyperlink r:id="rId22">
              <w:r>
                <w:rPr>
                  <w:rStyle w:val="InternetLink"/>
                </w:rPr>
                <w:t>10.16</w:t>
              </w:r>
            </w:hyperlink>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0"/>
              <w:ind w:left="0" w:right="0" w:hanging="0"/>
              <w:jc w:val="left"/>
              <w:rPr/>
            </w:pPr>
            <w:r>
              <w:rPr/>
              <w:t>Form of Restricted Stock Unit Award Agreement (Berry RSU Conversion) (incorporated by reference to Exhibit 10.10 to the Current Report on Form 8-K filed on November 5, 2024).</w:t>
            </w:r>
          </w:p>
        </w:tc>
      </w:tr>
      <w:tr>
        <w:trPr/>
        <w:tc>
          <w:tcPr>
            <w:tcW w:w="786" w:type="dxa"/>
            <w:tcBorders/>
            <w:shd w:fill="CCEEFF" w:val="clear"/>
          </w:tcPr>
          <w:p>
            <w:pPr>
              <w:pStyle w:val="TableContents"/>
              <w:bidi w:val="0"/>
              <w:spacing w:before="0" w:after="0"/>
              <w:ind w:left="0" w:right="0" w:hanging="0"/>
              <w:jc w:val="left"/>
              <w:rPr/>
            </w:pPr>
            <w:hyperlink r:id="rId23">
              <w:r>
                <w:rPr>
                  <w:rStyle w:val="InternetLink"/>
                </w:rPr>
                <w:t>10.17</w:t>
              </w:r>
            </w:hyperlink>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Form of Restricted Stock Unit Award Agreement (Berry Option conversion) (incorporated by reference to Exhibit 10.11 to the Current Report on Form 8-K filed on November 5, 2024).</w:t>
            </w:r>
          </w:p>
        </w:tc>
      </w:tr>
      <w:tr>
        <w:trPr/>
        <w:tc>
          <w:tcPr>
            <w:tcW w:w="786" w:type="dxa"/>
            <w:tcBorders/>
          </w:tcPr>
          <w:p>
            <w:pPr>
              <w:pStyle w:val="TableContents"/>
              <w:bidi w:val="0"/>
              <w:spacing w:before="0" w:after="0"/>
              <w:ind w:left="0" w:right="0" w:hanging="0"/>
              <w:jc w:val="left"/>
              <w:rPr/>
            </w:pPr>
            <w:hyperlink r:id="rId24">
              <w:r>
                <w:rPr>
                  <w:rStyle w:val="InternetLink"/>
                </w:rPr>
                <w:t>10.18</w:t>
              </w:r>
            </w:hyperlink>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0"/>
              <w:ind w:left="0" w:right="0" w:hanging="0"/>
              <w:jc w:val="left"/>
              <w:rPr/>
            </w:pPr>
            <w:r>
              <w:rPr/>
              <w:t>Form of Restricted Stock Unit Award Agreement (Berry DER conversion) (incorporated by reference to Exhibit 10.12 to the Current Report on Form 8-K filed on November 5, 2024).</w:t>
            </w:r>
          </w:p>
        </w:tc>
      </w:tr>
      <w:tr>
        <w:trPr/>
        <w:tc>
          <w:tcPr>
            <w:tcW w:w="786" w:type="dxa"/>
            <w:tcBorders/>
            <w:shd w:fill="CCEEFF" w:val="clear"/>
          </w:tcPr>
          <w:p>
            <w:pPr>
              <w:pStyle w:val="TableContents"/>
              <w:bidi w:val="0"/>
              <w:spacing w:before="0" w:after="0"/>
              <w:ind w:left="0" w:right="0" w:hanging="0"/>
              <w:jc w:val="left"/>
              <w:rPr/>
            </w:pPr>
            <w:hyperlink r:id="rId25">
              <w:r>
                <w:rPr>
                  <w:rStyle w:val="InternetLink"/>
                </w:rPr>
                <w:t>10.19</w:t>
              </w:r>
            </w:hyperlink>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Magnera Corporation Deferred Compensation Plan (incorporated by reference to Exhibit 10.13 to the Current Report on Form 8-K filed on November 5, 2024).</w:t>
            </w:r>
          </w:p>
        </w:tc>
      </w:tr>
      <w:tr>
        <w:trPr/>
        <w:tc>
          <w:tcPr>
            <w:tcW w:w="786" w:type="dxa"/>
            <w:tcBorders/>
          </w:tcPr>
          <w:p>
            <w:pPr>
              <w:pStyle w:val="TableContents"/>
              <w:bidi w:val="0"/>
              <w:spacing w:before="0" w:after="0"/>
              <w:ind w:left="0" w:right="0" w:hanging="0"/>
              <w:jc w:val="left"/>
              <w:rPr/>
            </w:pPr>
            <w:hyperlink r:id="rId26">
              <w:r>
                <w:rPr>
                  <w:rStyle w:val="InternetLink"/>
                </w:rPr>
                <w:t>10.20</w:t>
              </w:r>
            </w:hyperlink>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0"/>
              <w:ind w:left="0" w:right="0" w:hanging="0"/>
              <w:jc w:val="left"/>
              <w:rPr/>
            </w:pPr>
            <w:r>
              <w:rPr/>
              <w:t>P.H. Glatfelter Company Supplemental Executive Retirement Plan Amendment (incorporated by reference to Exhibit 10.14 to the Current Report on Form 8-K filed on November 5, 2024).</w:t>
            </w:r>
          </w:p>
        </w:tc>
      </w:tr>
      <w:tr>
        <w:trPr/>
        <w:tc>
          <w:tcPr>
            <w:tcW w:w="786" w:type="dxa"/>
            <w:tcBorders/>
            <w:shd w:fill="CCEEFF" w:val="clear"/>
          </w:tcPr>
          <w:p>
            <w:pPr>
              <w:pStyle w:val="TableContents"/>
              <w:bidi w:val="0"/>
              <w:spacing w:before="0" w:after="0"/>
              <w:ind w:left="0" w:right="0" w:hanging="0"/>
              <w:jc w:val="left"/>
              <w:rPr/>
            </w:pPr>
            <w:hyperlink r:id="rId27">
              <w:r>
                <w:rPr>
                  <w:rStyle w:val="InternetLink"/>
                </w:rPr>
                <w:t>10.21</w:t>
              </w:r>
            </w:hyperlink>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First Amendment to Tax Matters Agreement, dated October 21, 2024 (incorporated by reference to Exhibit 10.1 to the Current Report on Form 8-K filed by Glatfelter Corporation on October  22, 2024).</w:t>
            </w:r>
          </w:p>
        </w:tc>
      </w:tr>
      <w:tr>
        <w:trPr/>
        <w:tc>
          <w:tcPr>
            <w:tcW w:w="786" w:type="dxa"/>
            <w:tcBorders/>
          </w:tcPr>
          <w:p>
            <w:pPr>
              <w:pStyle w:val="TableContents"/>
              <w:bidi w:val="0"/>
              <w:spacing w:before="0" w:after="0"/>
              <w:ind w:left="0" w:right="0" w:hanging="0"/>
              <w:jc w:val="left"/>
              <w:rPr/>
            </w:pPr>
            <w:hyperlink r:id="rId28">
              <w:r>
                <w:rPr>
                  <w:rStyle w:val="InternetLink"/>
                </w:rPr>
                <w:t>10.22</w:t>
              </w:r>
            </w:hyperlink>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0"/>
              <w:ind w:left="0" w:right="0" w:hanging="0"/>
              <w:jc w:val="left"/>
              <w:rPr/>
            </w:pPr>
            <w:r>
              <w:rPr/>
              <w:t xml:space="preserve">Employment Agreement, dated December 20, 2024, between Magnera Corporation and Curtis L. Begle (incorporated by reference to Exhibit 10.1 to the Current Report on Form 8-K filed on December 20, 2024). </w:t>
            </w:r>
          </w:p>
        </w:tc>
      </w:tr>
      <w:tr>
        <w:trPr/>
        <w:tc>
          <w:tcPr>
            <w:tcW w:w="786" w:type="dxa"/>
            <w:tcBorders/>
            <w:shd w:fill="CCEEFF" w:val="clear"/>
          </w:tcPr>
          <w:p>
            <w:pPr>
              <w:pStyle w:val="TableContents"/>
              <w:bidi w:val="0"/>
              <w:spacing w:before="0" w:after="0"/>
              <w:ind w:left="0" w:right="0" w:hanging="0"/>
              <w:jc w:val="left"/>
              <w:rPr/>
            </w:pPr>
            <w:hyperlink r:id="rId29">
              <w:r>
                <w:rPr>
                  <w:rStyle w:val="InternetLink"/>
                </w:rPr>
                <w:t>10.23</w:t>
              </w:r>
            </w:hyperlink>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 xml:space="preserve">Magnera Corporation Executive Severance Plan (incorporated by reference to Exhibit 10.2 to the Current Report on Form 8-K filed on December 20, 2024). </w:t>
            </w:r>
          </w:p>
        </w:tc>
      </w:tr>
      <w:tr>
        <w:trPr/>
        <w:tc>
          <w:tcPr>
            <w:tcW w:w="786" w:type="dxa"/>
            <w:tcBorders/>
          </w:tcPr>
          <w:p>
            <w:pPr>
              <w:pStyle w:val="TableContents"/>
              <w:bidi w:val="0"/>
              <w:spacing w:before="0" w:after="0"/>
              <w:ind w:left="0" w:right="0" w:hanging="0"/>
              <w:jc w:val="left"/>
              <w:rPr/>
            </w:pPr>
            <w:hyperlink r:id="rId30">
              <w:r>
                <w:rPr>
                  <w:rStyle w:val="InternetLink"/>
                </w:rPr>
                <w:t>16.1</w:t>
              </w:r>
            </w:hyperlink>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0"/>
              <w:ind w:left="0" w:right="0" w:hanging="0"/>
              <w:jc w:val="left"/>
              <w:rPr/>
            </w:pPr>
            <w:r>
              <w:rPr/>
              <w:t xml:space="preserve">Letter from Deloitte &amp; Touche LLP dated November 4, 2024 (incorporated by reference to Exhibit 16.1 to the Current Report on Form 8-K filed on November 5, 2024). </w:t>
            </w:r>
          </w:p>
        </w:tc>
      </w:tr>
      <w:tr>
        <w:trPr/>
        <w:tc>
          <w:tcPr>
            <w:tcW w:w="786" w:type="dxa"/>
            <w:tcBorders/>
            <w:shd w:fill="CCEEFF" w:val="clear"/>
          </w:tcPr>
          <w:p>
            <w:pPr>
              <w:pStyle w:val="TableContents"/>
              <w:bidi w:val="0"/>
              <w:spacing w:before="0" w:after="0"/>
              <w:ind w:left="0" w:right="0" w:hanging="0"/>
              <w:jc w:val="left"/>
              <w:rPr/>
            </w:pPr>
            <w:hyperlink w:anchor="exhibit19.htm">
              <w:r>
                <w:rPr>
                  <w:rStyle w:val="InternetLink"/>
                  <w:color w:val="000080"/>
                </w:rPr>
                <w:t>19</w:t>
              </w:r>
            </w:hyperlink>
            <w:r>
              <w:rPr>
                <w:color w:val="0000EE"/>
              </w:rPr>
              <w:t>*</w:t>
            </w:r>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Insider Trading Policy.</w:t>
            </w:r>
          </w:p>
        </w:tc>
      </w:tr>
      <w:tr>
        <w:trPr/>
        <w:tc>
          <w:tcPr>
            <w:tcW w:w="786" w:type="dxa"/>
            <w:tcBorders/>
          </w:tcPr>
          <w:p>
            <w:pPr>
              <w:pStyle w:val="TableContents"/>
              <w:bidi w:val="0"/>
              <w:spacing w:before="0" w:after="283"/>
              <w:jc w:val="left"/>
              <w:rPr/>
            </w:pPr>
            <w:hyperlink w:anchor="exhibit21-1.htm">
              <w:r>
                <w:rPr>
                  <w:rStyle w:val="InternetLink"/>
                </w:rPr>
                <w:t>21.1</w:t>
              </w:r>
            </w:hyperlink>
            <w:r>
              <w:rPr/>
              <w:t>*</w:t>
            </w:r>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283"/>
              <w:jc w:val="left"/>
              <w:rPr/>
            </w:pPr>
            <w:r>
              <w:rPr/>
              <w:t>Subsidiaries of the Registrant.</w:t>
            </w:r>
          </w:p>
        </w:tc>
      </w:tr>
      <w:tr>
        <w:trPr/>
        <w:tc>
          <w:tcPr>
            <w:tcW w:w="786" w:type="dxa"/>
            <w:tcBorders/>
            <w:shd w:fill="CCEEFF" w:val="clear"/>
          </w:tcPr>
          <w:p>
            <w:pPr>
              <w:pStyle w:val="TableContents"/>
              <w:bidi w:val="0"/>
              <w:spacing w:before="0" w:after="283"/>
              <w:jc w:val="left"/>
              <w:rPr/>
            </w:pPr>
            <w:hyperlink w:anchor="exhibit22-1.htm">
              <w:r>
                <w:rPr>
                  <w:rStyle w:val="InternetLink"/>
                </w:rPr>
                <w:t>22.1</w:t>
              </w:r>
            </w:hyperlink>
            <w:r>
              <w:rPr/>
              <w:t>*</w:t>
            </w:r>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283"/>
              <w:jc w:val="left"/>
              <w:rPr/>
            </w:pPr>
            <w:r>
              <w:rPr/>
              <w:t>List of Subsidiary Guarantors.</w:t>
            </w:r>
          </w:p>
        </w:tc>
      </w:tr>
      <w:tr>
        <w:trPr/>
        <w:tc>
          <w:tcPr>
            <w:tcW w:w="786" w:type="dxa"/>
            <w:tcBorders/>
          </w:tcPr>
          <w:p>
            <w:pPr>
              <w:pStyle w:val="TableContents"/>
              <w:bidi w:val="0"/>
              <w:spacing w:before="0" w:after="283"/>
              <w:jc w:val="left"/>
              <w:rPr/>
            </w:pPr>
            <w:hyperlink w:anchor="exhibit23-1.htm">
              <w:r>
                <w:rPr>
                  <w:rStyle w:val="InternetLink"/>
                </w:rPr>
                <w:t>23.1</w:t>
              </w:r>
            </w:hyperlink>
            <w:r>
              <w:rPr/>
              <w:t>*</w:t>
            </w:r>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283"/>
              <w:jc w:val="left"/>
              <w:rPr/>
            </w:pPr>
            <w:r>
              <w:rPr/>
              <w:t>Consent of Independent Registered Public Accounting Firm.</w:t>
            </w:r>
          </w:p>
        </w:tc>
      </w:tr>
      <w:tr>
        <w:trPr/>
        <w:tc>
          <w:tcPr>
            <w:tcW w:w="786" w:type="dxa"/>
            <w:tcBorders/>
            <w:shd w:fill="CCEEFF" w:val="clear"/>
          </w:tcPr>
          <w:p>
            <w:pPr>
              <w:pStyle w:val="TableContents"/>
              <w:bidi w:val="0"/>
              <w:spacing w:before="0" w:after="0"/>
              <w:ind w:left="0" w:right="0" w:hanging="0"/>
              <w:jc w:val="left"/>
              <w:rPr/>
            </w:pPr>
            <w:hyperlink w:anchor="exhibit31-1.htm">
              <w:r>
                <w:rPr>
                  <w:rStyle w:val="InternetLink"/>
                  <w:color w:val="0000EE"/>
                </w:rPr>
                <w:t>31.1</w:t>
              </w:r>
            </w:hyperlink>
            <w:r>
              <w:rPr/>
              <w:t xml:space="preserve">* </w:t>
            </w:r>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 xml:space="preserve">Rule 13a-14(a)/15d-14(a) Certification of the Chief Executive Officer. </w:t>
            </w:r>
          </w:p>
        </w:tc>
      </w:tr>
      <w:tr>
        <w:trPr/>
        <w:tc>
          <w:tcPr>
            <w:tcW w:w="786" w:type="dxa"/>
            <w:tcBorders/>
          </w:tcPr>
          <w:p>
            <w:pPr>
              <w:pStyle w:val="TableContents"/>
              <w:bidi w:val="0"/>
              <w:spacing w:before="0" w:after="0"/>
              <w:ind w:left="0" w:right="0" w:hanging="0"/>
              <w:jc w:val="left"/>
              <w:rPr/>
            </w:pPr>
            <w:hyperlink w:anchor="exhibit31-2.htm">
              <w:r>
                <w:rPr>
                  <w:rStyle w:val="InternetLink"/>
                  <w:color w:val="0000EE"/>
                </w:rPr>
                <w:t>31.2</w:t>
              </w:r>
            </w:hyperlink>
            <w:r>
              <w:rPr/>
              <w:t xml:space="preserve">* </w:t>
            </w:r>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0"/>
              <w:ind w:left="0" w:right="0" w:hanging="0"/>
              <w:jc w:val="left"/>
              <w:rPr/>
            </w:pPr>
            <w:r>
              <w:rPr/>
              <w:t xml:space="preserve">Rule 13a-14(a)/15d-14(a) Certification of the Chief Financial Officer. </w:t>
            </w:r>
          </w:p>
        </w:tc>
      </w:tr>
      <w:tr>
        <w:trPr/>
        <w:tc>
          <w:tcPr>
            <w:tcW w:w="786" w:type="dxa"/>
            <w:tcBorders/>
            <w:shd w:fill="CCEEFF" w:val="clear"/>
          </w:tcPr>
          <w:p>
            <w:pPr>
              <w:pStyle w:val="TableContents"/>
              <w:bidi w:val="0"/>
              <w:spacing w:before="0" w:after="0"/>
              <w:ind w:left="0" w:right="0" w:hanging="0"/>
              <w:jc w:val="left"/>
              <w:rPr/>
            </w:pPr>
            <w:hyperlink w:anchor="exhibit32-1.htm">
              <w:r>
                <w:rPr>
                  <w:rStyle w:val="InternetLink"/>
                  <w:color w:val="0000EE"/>
                </w:rPr>
                <w:t>32.1</w:t>
              </w:r>
            </w:hyperlink>
            <w:r>
              <w:rPr/>
              <w:t xml:space="preserve">* </w:t>
            </w:r>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 xml:space="preserve">Section 1350 Certification of the Chief Executive Officer. </w:t>
            </w:r>
          </w:p>
        </w:tc>
      </w:tr>
      <w:tr>
        <w:trPr/>
        <w:tc>
          <w:tcPr>
            <w:tcW w:w="786" w:type="dxa"/>
            <w:tcBorders/>
          </w:tcPr>
          <w:p>
            <w:pPr>
              <w:pStyle w:val="TableContents"/>
              <w:bidi w:val="0"/>
              <w:spacing w:before="0" w:after="0"/>
              <w:ind w:left="0" w:right="0" w:hanging="0"/>
              <w:jc w:val="left"/>
              <w:rPr/>
            </w:pPr>
            <w:hyperlink w:anchor="exhibit32-2.htm">
              <w:r>
                <w:rPr>
                  <w:rStyle w:val="InternetLink"/>
                  <w:color w:val="0000EE"/>
                </w:rPr>
                <w:t>32.2</w:t>
              </w:r>
            </w:hyperlink>
            <w:r>
              <w:rPr/>
              <w:t xml:space="preserve">* </w:t>
            </w:r>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0"/>
              <w:ind w:left="0" w:right="0" w:hanging="0"/>
              <w:jc w:val="left"/>
              <w:rPr/>
            </w:pPr>
            <w:r>
              <w:rPr/>
              <w:t xml:space="preserve">Section 1350 Certification of the Chief Financial Officer. </w:t>
            </w:r>
          </w:p>
        </w:tc>
      </w:tr>
      <w:tr>
        <w:trPr/>
        <w:tc>
          <w:tcPr>
            <w:tcW w:w="786" w:type="dxa"/>
            <w:tcBorders/>
            <w:shd w:fill="CCEEFF" w:val="clear"/>
          </w:tcPr>
          <w:p>
            <w:pPr>
              <w:pStyle w:val="TableContents"/>
              <w:bidi w:val="0"/>
              <w:spacing w:before="0" w:after="0"/>
              <w:ind w:left="0" w:right="0" w:hanging="0"/>
              <w:jc w:val="left"/>
              <w:rPr/>
            </w:pPr>
            <w:r>
              <w:rPr/>
              <w:t xml:space="preserve">101.INS </w:t>
            </w:r>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 xml:space="preserve">Inline XBRL Instance Document (the instance document does not appear in the Interactive Data File because its XBRL tags are embedded within the Inline XBRL document). </w:t>
            </w:r>
          </w:p>
        </w:tc>
      </w:tr>
      <w:tr>
        <w:trPr/>
        <w:tc>
          <w:tcPr>
            <w:tcW w:w="786" w:type="dxa"/>
            <w:tcBorders/>
          </w:tcPr>
          <w:p>
            <w:pPr>
              <w:pStyle w:val="TableContents"/>
              <w:bidi w:val="0"/>
              <w:spacing w:before="0" w:after="0"/>
              <w:ind w:left="0" w:right="0" w:hanging="0"/>
              <w:jc w:val="left"/>
              <w:rPr/>
            </w:pPr>
            <w:r>
              <w:rPr/>
              <w:t xml:space="preserve">101.SCH </w:t>
            </w:r>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0"/>
              <w:ind w:left="0" w:right="0" w:hanging="0"/>
              <w:jc w:val="left"/>
              <w:rPr/>
            </w:pPr>
            <w:r>
              <w:rPr/>
              <w:t xml:space="preserve">Inline XBRL Taxonomy Extension Schema Document. </w:t>
            </w:r>
          </w:p>
        </w:tc>
      </w:tr>
      <w:tr>
        <w:trPr/>
        <w:tc>
          <w:tcPr>
            <w:tcW w:w="786" w:type="dxa"/>
            <w:tcBorders/>
            <w:shd w:fill="CCEEFF" w:val="clear"/>
          </w:tcPr>
          <w:p>
            <w:pPr>
              <w:pStyle w:val="TableContents"/>
              <w:bidi w:val="0"/>
              <w:spacing w:before="0" w:after="0"/>
              <w:ind w:left="0" w:right="0" w:hanging="0"/>
              <w:jc w:val="left"/>
              <w:rPr/>
            </w:pPr>
            <w:r>
              <w:rPr/>
              <w:t xml:space="preserve">101.CAL </w:t>
            </w:r>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 xml:space="preserve">Inline XBRL Taxonomy Extension Calculation Linkbase Document. </w:t>
            </w:r>
          </w:p>
        </w:tc>
      </w:tr>
      <w:tr>
        <w:trPr/>
        <w:tc>
          <w:tcPr>
            <w:tcW w:w="786" w:type="dxa"/>
            <w:tcBorders/>
          </w:tcPr>
          <w:p>
            <w:pPr>
              <w:pStyle w:val="TableContents"/>
              <w:bidi w:val="0"/>
              <w:spacing w:before="0" w:after="0"/>
              <w:ind w:left="0" w:right="0" w:hanging="0"/>
              <w:jc w:val="left"/>
              <w:rPr/>
            </w:pPr>
            <w:r>
              <w:rPr/>
              <w:t xml:space="preserve">101.DEF </w:t>
            </w:r>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0"/>
              <w:ind w:left="0" w:right="0" w:hanging="0"/>
              <w:jc w:val="left"/>
              <w:rPr/>
            </w:pPr>
            <w:r>
              <w:rPr/>
              <w:t xml:space="preserve">Inline XBRL Taxonomy Extension Definition Linkbase Document. </w:t>
            </w:r>
          </w:p>
        </w:tc>
      </w:tr>
      <w:tr>
        <w:trPr/>
        <w:tc>
          <w:tcPr>
            <w:tcW w:w="786" w:type="dxa"/>
            <w:tcBorders/>
            <w:shd w:fill="CCEEFF" w:val="clear"/>
          </w:tcPr>
          <w:p>
            <w:pPr>
              <w:pStyle w:val="TableContents"/>
              <w:bidi w:val="0"/>
              <w:spacing w:before="0" w:after="0"/>
              <w:ind w:left="0" w:right="0" w:hanging="0"/>
              <w:jc w:val="left"/>
              <w:rPr/>
            </w:pPr>
            <w:r>
              <w:rPr/>
              <w:t xml:space="preserve">101.LAB </w:t>
            </w:r>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 xml:space="preserve">Inline XBRL Taxonomy Extension Label Linkbase Document. </w:t>
            </w:r>
          </w:p>
        </w:tc>
      </w:tr>
      <w:tr>
        <w:trPr/>
        <w:tc>
          <w:tcPr>
            <w:tcW w:w="786" w:type="dxa"/>
            <w:tcBorders/>
          </w:tcPr>
          <w:p>
            <w:pPr>
              <w:pStyle w:val="TableContents"/>
              <w:bidi w:val="0"/>
              <w:spacing w:before="0" w:after="0"/>
              <w:ind w:left="0" w:right="0" w:hanging="0"/>
              <w:jc w:val="left"/>
              <w:rPr/>
            </w:pPr>
            <w:r>
              <w:rPr/>
              <w:t xml:space="preserve">101.PRE </w:t>
            </w:r>
          </w:p>
        </w:tc>
        <w:tc>
          <w:tcPr>
            <w:tcW w:w="90" w:type="dxa"/>
            <w:tcBorders/>
          </w:tcPr>
          <w:p>
            <w:pPr>
              <w:pStyle w:val="TableContents"/>
              <w:bidi w:val="0"/>
              <w:spacing w:before="0" w:after="283"/>
              <w:jc w:val="left"/>
              <w:rPr/>
            </w:pPr>
            <w:r>
              <w:rPr/>
              <w:t> </w:t>
            </w:r>
          </w:p>
        </w:tc>
        <w:tc>
          <w:tcPr>
            <w:tcW w:w="9329" w:type="dxa"/>
            <w:tcBorders/>
          </w:tcPr>
          <w:p>
            <w:pPr>
              <w:pStyle w:val="TableContents"/>
              <w:bidi w:val="0"/>
              <w:spacing w:before="0" w:after="0"/>
              <w:ind w:left="0" w:right="0" w:hanging="0"/>
              <w:jc w:val="left"/>
              <w:rPr/>
            </w:pPr>
            <w:r>
              <w:rPr/>
              <w:t xml:space="preserve">Inline XBRL Taxonomy Extension Presentation Linkbase Document. </w:t>
            </w:r>
          </w:p>
        </w:tc>
      </w:tr>
      <w:tr>
        <w:trPr/>
        <w:tc>
          <w:tcPr>
            <w:tcW w:w="786" w:type="dxa"/>
            <w:tcBorders/>
            <w:shd w:fill="CCEEFF" w:val="clear"/>
          </w:tcPr>
          <w:p>
            <w:pPr>
              <w:pStyle w:val="TableContents"/>
              <w:bidi w:val="0"/>
              <w:spacing w:before="0" w:after="0"/>
              <w:ind w:left="0" w:right="0" w:hanging="0"/>
              <w:jc w:val="left"/>
              <w:rPr/>
            </w:pPr>
            <w:r>
              <w:rPr/>
              <w:t xml:space="preserve">104 </w:t>
            </w:r>
          </w:p>
        </w:tc>
        <w:tc>
          <w:tcPr>
            <w:tcW w:w="90" w:type="dxa"/>
            <w:tcBorders/>
            <w:shd w:fill="CCEEFF" w:val="clear"/>
          </w:tcPr>
          <w:p>
            <w:pPr>
              <w:pStyle w:val="TableContents"/>
              <w:bidi w:val="0"/>
              <w:spacing w:before="0" w:after="283"/>
              <w:jc w:val="left"/>
              <w:rPr/>
            </w:pPr>
            <w:r>
              <w:rPr/>
              <w:t> </w:t>
            </w:r>
          </w:p>
        </w:tc>
        <w:tc>
          <w:tcPr>
            <w:tcW w:w="9329" w:type="dxa"/>
            <w:tcBorders/>
            <w:shd w:fill="CCEEFF" w:val="clear"/>
          </w:tcPr>
          <w:p>
            <w:pPr>
              <w:pStyle w:val="TableContents"/>
              <w:bidi w:val="0"/>
              <w:spacing w:before="0" w:after="0"/>
              <w:ind w:left="0" w:right="0" w:hanging="0"/>
              <w:jc w:val="left"/>
              <w:rPr/>
            </w:pPr>
            <w:r>
              <w:rPr/>
              <w:t xml:space="preserve">Cover Page Interactive Date File (formatted as Inline XBRL and contained in Exhibit 101). </w:t>
            </w:r>
          </w:p>
        </w:tc>
      </w:tr>
    </w:tbl>
    <w:p>
      <w:pPr>
        <w:pStyle w:val="TextBody"/>
        <w:bidi w:val="0"/>
        <w:spacing w:before="0" w:after="0"/>
        <w:ind w:left="0" w:right="0" w:hanging="0"/>
        <w:jc w:val="left"/>
        <w:rPr>
          <w:bdr w:val="single" w:sz="2" w:space="1" w:color="000000"/>
        </w:rPr>
      </w:pPr>
      <w:r>
        <w:rPr>
          <w:bdr w:val="single" w:sz="2" w:space="1" w:color="000000"/>
        </w:rPr>
        <w:t> </w:t>
      </w:r>
    </w:p>
    <w:p>
      <w:pPr>
        <w:pStyle w:val="TextBody"/>
        <w:bidi w:val="0"/>
        <w:spacing w:before="0" w:after="0"/>
        <w:ind w:left="0" w:right="0" w:hanging="360"/>
        <w:jc w:val="left"/>
        <w:rPr>
          <w:rFonts w:ascii="Times New Roman" w:hAnsi="Times New Roman"/>
          <w:sz w:val="18"/>
          <w:bdr w:val="single" w:sz="2" w:space="1" w:color="000000"/>
        </w:rPr>
      </w:pPr>
      <w:r>
        <w:rPr>
          <w:rFonts w:ascii="Times New Roman" w:hAnsi="Times New Roman"/>
          <w:spacing w:val="0"/>
          <w:sz w:val="18"/>
          <w:bdr w:val="single" w:sz="2" w:space="1" w:color="000000"/>
        </w:rPr>
        <w:t>+     </w:t>
      </w:r>
      <w:r>
        <w:rPr>
          <w:rFonts w:ascii="Times New Roman" w:hAnsi="Times New Roman"/>
          <w:sz w:val="18"/>
          <w:bdr w:val="single" w:sz="2" w:space="1" w:color="000000"/>
        </w:rPr>
        <w:t xml:space="preserve">Management compensatory plan, contract, or arrangement. </w:t>
      </w:r>
    </w:p>
    <w:p>
      <w:pPr>
        <w:pStyle w:val="TextBody"/>
        <w:bidi w:val="0"/>
        <w:spacing w:before="0" w:after="0"/>
        <w:ind w:left="0" w:right="0" w:hanging="360"/>
        <w:jc w:val="left"/>
        <w:rPr>
          <w:rFonts w:ascii="Times New Roman" w:hAnsi="Times New Roman"/>
          <w:sz w:val="18"/>
          <w:bdr w:val="single" w:sz="2" w:space="1" w:color="000000"/>
        </w:rPr>
      </w:pPr>
      <w:r>
        <w:rPr>
          <w:rFonts w:ascii="Times New Roman" w:hAnsi="Times New Roman"/>
          <w:spacing w:val="0"/>
          <w:sz w:val="18"/>
          <w:bdr w:val="single" w:sz="2" w:space="1" w:color="000000"/>
        </w:rPr>
        <w:t>*     </w:t>
      </w:r>
      <w:r>
        <w:rPr>
          <w:rFonts w:ascii="Times New Roman" w:hAnsi="Times New Roman"/>
          <w:sz w:val="18"/>
          <w:bdr w:val="single" w:sz="2" w:space="1" w:color="000000"/>
        </w:rPr>
        <w:t xml:space="preserve">Filed or furnished, as applicable, with this Annual Report. </w:t>
      </w:r>
    </w:p>
    <w:p>
      <w:pPr>
        <w:pStyle w:val="TextBody"/>
        <w:bidi w:val="0"/>
        <w:spacing w:before="0" w:after="0"/>
        <w:ind w:left="0" w:right="0" w:hanging="360"/>
        <w:jc w:val="left"/>
        <w:rPr>
          <w:bdr w:val="single" w:sz="2" w:space="1" w:color="000000"/>
        </w:rPr>
      </w:pPr>
      <w:r>
        <w:rPr>
          <w:spacing w:val="0"/>
          <w:bdr w:val="single" w:sz="2" w:space="1" w:color="000000"/>
        </w:rPr>
        <w:t>†     </w:t>
      </w:r>
      <w:r>
        <w:rPr>
          <w:rFonts w:ascii="Times New Roman" w:hAnsi="Times New Roman"/>
          <w:sz w:val="18"/>
          <w:bdr w:val="single" w:sz="2" w:space="1" w:color="000000"/>
        </w:rPr>
        <w:t xml:space="preserve">Pursuant to Item 601(b)(2) of Regulation S-K, certain schedules and similar attachments to the RMT Transaction Agreement, the Separation Agreement, the Employee Matters Agreement and the First Amendment to the Employee Matters Agreement have been omitted. Treasure Holdco, Inc. hereby agrees to furnish supplementally a copy of any omitted schedule or similar attachment to the U.S. Securities and Exchange Commission upon request. </w:t>
      </w:r>
    </w:p>
    <w:p>
      <w:pPr>
        <w:pStyle w:val="TextBody"/>
        <w:bidi w:val="0"/>
        <w:spacing w:lineRule="auto" w:line="240" w:before="0" w:after="0"/>
        <w:ind w:left="0" w:right="0" w:hanging="360"/>
        <w:jc w:val="left"/>
        <w:rPr>
          <w:bdr w:val="single" w:sz="2" w:space="1" w:color="000000"/>
        </w:rPr>
      </w:pPr>
      <w:r>
        <w:rPr>
          <w:bdr w:val="single" w:sz="2" w:space="1" w:color="000000"/>
        </w:rPr>
        <w:t> </w:t>
      </w:r>
    </w:p>
    <w:p>
      <w:pPr>
        <w:pStyle w:val="TextBody"/>
        <w:bidi w:val="0"/>
        <w:spacing w:lineRule="auto" w:line="240" w:before="0" w:after="0"/>
        <w:ind w:left="0" w:right="0" w:hanging="360"/>
        <w:jc w:val="left"/>
        <w:rPr>
          <w:bdr w:val="single" w:sz="2" w:space="1" w:color="000000"/>
        </w:rPr>
      </w:pPr>
      <w:r>
        <w:rPr>
          <w:bdr w:val="single" w:sz="2" w:space="1" w:color="000000"/>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lineRule="auto" w:line="240" w:before="0" w:after="0"/>
        <w:ind w:left="360" w:right="0" w:hanging="0"/>
        <w:jc w:val="left"/>
        <w:rPr>
          <w:bdr w:val="single" w:sz="2" w:space="1" w:color="000000"/>
        </w:rPr>
      </w:pPr>
      <w:r>
        <w:rPr>
          <w:bdr w:val="single" w:sz="2" w:space="1" w:color="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34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spacing w:before="0" w:after="0"/>
        <w:jc w:val="center"/>
        <w:rPr>
          <w:rFonts w:ascii="Times New Roman" w:hAnsi="Times New Roman"/>
          <w:sz w:val="18"/>
          <w:bdr w:val="single" w:sz="2" w:space="1" w:color="000000"/>
        </w:rPr>
      </w:pPr>
      <w:r>
        <w:rPr>
          <w:rFonts w:ascii="Times New Roman" w:hAnsi="Times New Roman"/>
          <w:b/>
          <w:sz w:val="18"/>
          <w:bdr w:val="single" w:sz="2" w:space="1" w:color="000000"/>
        </w:rPr>
        <w:t>SIGNATURES</w:t>
      </w:r>
      <w:r>
        <w:rPr>
          <w:rFonts w:ascii="Times New Roman" w:hAnsi="Times New Roman"/>
          <w:sz w:val="18"/>
          <w:bdr w:val="single" w:sz="2" w:space="1" w:color="000000"/>
        </w:rPr>
        <w:t xml:space="preserve"> </w:t>
      </w:r>
    </w:p>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left"/>
        <w:rPr>
          <w:rFonts w:ascii="Times New Roman" w:hAnsi="Times New Roman"/>
          <w:sz w:val="18"/>
          <w:bdr w:val="single" w:sz="2" w:space="1" w:color="000000"/>
        </w:rPr>
      </w:pPr>
      <w:r>
        <w:rPr>
          <w:rFonts w:ascii="Times New Roman" w:hAnsi="Times New Roman"/>
          <w:sz w:val="18"/>
          <w:bdr w:val="single" w:sz="2" w:space="1" w:color="000000"/>
        </w:rPr>
        <w:t xml:space="preserve">Pursuant to the requirements of Section 13 or 15(d) of the Securities Exchange Act of 1934, the registrant has duly caused this report to be signed on its behalf by the undersigned, thereunto duly authorized, on the 25th day of November, 2025. </w:t>
      </w:r>
    </w:p>
    <w:p>
      <w:pPr>
        <w:pStyle w:val="TextBody"/>
        <w:bidi w:val="0"/>
        <w:spacing w:before="0" w:after="0"/>
        <w:jc w:val="both"/>
        <w:rPr>
          <w:bdr w:val="single" w:sz="2" w:space="1" w:color="000000"/>
        </w:rPr>
      </w:pPr>
      <w:r>
        <w:rPr>
          <w:bdr w:val="single" w:sz="2" w:space="1" w:color="000000"/>
        </w:rPr>
        <w:t xml:space="preserve">  </w:t>
      </w:r>
    </w:p>
    <w:tbl>
      <w:tblPr>
        <w:tblW w:w="3022" w:type="dxa"/>
        <w:jc w:val="left"/>
        <w:tblInd w:w="0" w:type="dxa"/>
        <w:tblLayout w:type="fixed"/>
        <w:tblCellMar>
          <w:top w:w="28" w:type="dxa"/>
          <w:left w:w="28" w:type="dxa"/>
          <w:bottom w:w="28" w:type="dxa"/>
          <w:right w:w="28" w:type="dxa"/>
        </w:tblCellMar>
      </w:tblPr>
      <w:tblGrid>
        <w:gridCol w:w="281"/>
        <w:gridCol w:w="421"/>
        <w:gridCol w:w="2069"/>
        <w:gridCol w:w="251"/>
      </w:tblGrid>
      <w:tr>
        <w:trPr/>
        <w:tc>
          <w:tcPr>
            <w:tcW w:w="28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2069"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r>
      <w:tr>
        <w:trPr/>
        <w:tc>
          <w:tcPr>
            <w:tcW w:w="281" w:type="dxa"/>
            <w:tcBorders/>
            <w:vAlign w:val="center"/>
          </w:tcPr>
          <w:p>
            <w:pPr>
              <w:pStyle w:val="TableContents"/>
              <w:bidi w:val="0"/>
              <w:spacing w:before="0" w:after="0"/>
              <w:jc w:val="left"/>
              <w:rPr/>
            </w:pPr>
            <w:r>
              <w:rPr/>
              <w:t xml:space="preserve">   </w:t>
            </w:r>
          </w:p>
        </w:tc>
        <w:tc>
          <w:tcPr>
            <w:tcW w:w="2490" w:type="dxa"/>
            <w:gridSpan w:val="2"/>
            <w:tcBorders/>
            <w:vAlign w:val="center"/>
          </w:tcPr>
          <w:p>
            <w:pPr>
              <w:pStyle w:val="TableContents"/>
              <w:bidi w:val="0"/>
              <w:spacing w:before="0" w:after="0"/>
              <w:jc w:val="both"/>
              <w:rPr>
                <w:b/>
                <w:sz w:val="18"/>
              </w:rPr>
            </w:pPr>
            <w:r>
              <w:rPr>
                <w:b/>
                <w:sz w:val="18"/>
              </w:rPr>
              <w:t>MAGNERA CORPORATION</w:t>
            </w:r>
          </w:p>
        </w:tc>
        <w:tc>
          <w:tcPr>
            <w:tcW w:w="251" w:type="dxa"/>
            <w:tcBorders/>
            <w:vAlign w:val="center"/>
          </w:tcPr>
          <w:p>
            <w:pPr>
              <w:pStyle w:val="TableContents"/>
              <w:bidi w:val="0"/>
              <w:spacing w:before="0" w:after="0"/>
              <w:jc w:val="left"/>
              <w:rPr/>
            </w:pPr>
            <w:r>
              <w:rPr/>
              <w:t xml:space="preserve">  </w:t>
            </w:r>
          </w:p>
        </w:tc>
      </w:tr>
      <w:tr>
        <w:trPr/>
        <w:tc>
          <w:tcPr>
            <w:tcW w:w="281" w:type="dxa"/>
            <w:tcBorders/>
            <w:vAlign w:val="center"/>
          </w:tcPr>
          <w:p>
            <w:pPr>
              <w:pStyle w:val="TableContents"/>
              <w:bidi w:val="0"/>
              <w:spacing w:before="0" w:after="0"/>
              <w:jc w:val="both"/>
              <w:rPr/>
            </w:pPr>
            <w:r>
              <w:rPr/>
              <w:t xml:space="preserve">  </w:t>
            </w:r>
          </w:p>
        </w:tc>
        <w:tc>
          <w:tcPr>
            <w:tcW w:w="2490" w:type="dxa"/>
            <w:gridSpan w:val="2"/>
            <w:tcBorders/>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r>
        <w:trPr/>
        <w:tc>
          <w:tcPr>
            <w:tcW w:w="28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21" w:type="dxa"/>
            <w:tcBorders/>
            <w:tcMar>
              <w:top w:w="0" w:type="dxa"/>
              <w:left w:w="0" w:type="dxa"/>
              <w:bottom w:w="0" w:type="dxa"/>
              <w:right w:w="0" w:type="dxa"/>
            </w:tcMar>
            <w:vAlign w:val="center"/>
          </w:tcPr>
          <w:p>
            <w:pPr>
              <w:pStyle w:val="TableContents"/>
              <w:bidi w:val="0"/>
              <w:spacing w:before="0" w:after="0"/>
              <w:jc w:val="left"/>
              <w:rPr/>
            </w:pPr>
            <w:r>
              <w:rPr>
                <w:sz w:val="18"/>
              </w:rPr>
              <w:t>By</w:t>
            </w:r>
            <w:r>
              <w:rPr/>
              <w:t xml:space="preserve"> </w:t>
            </w:r>
          </w:p>
        </w:tc>
        <w:tc>
          <w:tcPr>
            <w:tcW w:w="2069" w:type="dxa"/>
            <w:tcBorders>
              <w:bottom w:val="single" w:sz="8" w:space="0" w:color="000000"/>
            </w:tcBorders>
            <w:tcMar>
              <w:top w:w="0" w:type="dxa"/>
              <w:left w:w="0" w:type="dxa"/>
              <w:right w:w="0" w:type="dxa"/>
            </w:tcMar>
            <w:vAlign w:val="center"/>
          </w:tcPr>
          <w:p>
            <w:pPr>
              <w:pStyle w:val="TableContents"/>
              <w:bidi w:val="0"/>
              <w:spacing w:before="0" w:after="0"/>
              <w:ind w:left="180" w:right="0" w:hanging="0"/>
              <w:jc w:val="left"/>
              <w:rPr>
                <w:sz w:val="18"/>
              </w:rPr>
            </w:pPr>
            <w:r>
              <w:rPr>
                <w:sz w:val="18"/>
              </w:rPr>
              <w:t>/s/ Curt Begle</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81" w:type="dxa"/>
            <w:tcBorders/>
            <w:vAlign w:val="center"/>
          </w:tcPr>
          <w:p>
            <w:pPr>
              <w:pStyle w:val="TableContents"/>
              <w:bidi w:val="0"/>
              <w:spacing w:before="0" w:after="0"/>
              <w:jc w:val="left"/>
              <w:rPr/>
            </w:pPr>
            <w:r>
              <w:rPr/>
              <w:t xml:space="preserve">   </w:t>
            </w:r>
          </w:p>
        </w:tc>
        <w:tc>
          <w:tcPr>
            <w:tcW w:w="421" w:type="dxa"/>
            <w:tcBorders/>
            <w:vAlign w:val="center"/>
          </w:tcPr>
          <w:p>
            <w:pPr>
              <w:pStyle w:val="TableContents"/>
              <w:bidi w:val="0"/>
              <w:spacing w:before="0" w:after="0"/>
              <w:jc w:val="left"/>
              <w:rPr/>
            </w:pPr>
            <w:r>
              <w:rPr/>
              <w:t xml:space="preserve">   </w:t>
            </w:r>
          </w:p>
        </w:tc>
        <w:tc>
          <w:tcPr>
            <w:tcW w:w="2069" w:type="dxa"/>
            <w:tcBorders/>
            <w:vAlign w:val="center"/>
          </w:tcPr>
          <w:p>
            <w:pPr>
              <w:pStyle w:val="TableContents"/>
              <w:bidi w:val="0"/>
              <w:spacing w:before="0" w:after="0"/>
              <w:jc w:val="left"/>
              <w:rPr>
                <w:sz w:val="18"/>
              </w:rPr>
            </w:pPr>
            <w:r>
              <w:rPr>
                <w:sz w:val="18"/>
              </w:rPr>
              <w:t>Curt Begle</w:t>
            </w:r>
          </w:p>
        </w:tc>
        <w:tc>
          <w:tcPr>
            <w:tcW w:w="251" w:type="dxa"/>
            <w:tcBorders/>
            <w:vAlign w:val="center"/>
          </w:tcPr>
          <w:p>
            <w:pPr>
              <w:pStyle w:val="TableContents"/>
              <w:bidi w:val="0"/>
              <w:spacing w:before="0" w:after="0"/>
              <w:jc w:val="left"/>
              <w:rPr/>
            </w:pPr>
            <w:r>
              <w:rPr/>
              <w:t xml:space="preserve">  </w:t>
            </w:r>
          </w:p>
        </w:tc>
      </w:tr>
      <w:tr>
        <w:trPr/>
        <w:tc>
          <w:tcPr>
            <w:tcW w:w="281" w:type="dxa"/>
            <w:tcBorders/>
            <w:vAlign w:val="center"/>
          </w:tcPr>
          <w:p>
            <w:pPr>
              <w:pStyle w:val="TableContents"/>
              <w:bidi w:val="0"/>
              <w:spacing w:before="0" w:after="0"/>
              <w:jc w:val="left"/>
              <w:rPr/>
            </w:pPr>
            <w:r>
              <w:rPr/>
              <w:t xml:space="preserve">   </w:t>
            </w:r>
          </w:p>
        </w:tc>
        <w:tc>
          <w:tcPr>
            <w:tcW w:w="421" w:type="dxa"/>
            <w:tcBorders/>
            <w:vAlign w:val="center"/>
          </w:tcPr>
          <w:p>
            <w:pPr>
              <w:pStyle w:val="TableContents"/>
              <w:bidi w:val="0"/>
              <w:spacing w:before="0" w:after="0"/>
              <w:jc w:val="left"/>
              <w:rPr/>
            </w:pPr>
            <w:r>
              <w:rPr/>
              <w:t xml:space="preserve">   </w:t>
            </w:r>
          </w:p>
        </w:tc>
        <w:tc>
          <w:tcPr>
            <w:tcW w:w="2069" w:type="dxa"/>
            <w:tcBorders/>
            <w:vAlign w:val="center"/>
          </w:tcPr>
          <w:p>
            <w:pPr>
              <w:pStyle w:val="TableContents"/>
              <w:bidi w:val="0"/>
              <w:spacing w:before="0" w:after="0"/>
              <w:jc w:val="left"/>
              <w:rPr/>
            </w:pPr>
            <w:r>
              <w:rPr>
                <w:sz w:val="18"/>
              </w:rPr>
              <w:t>Chief Executive Officer</w:t>
            </w:r>
            <w:r>
              <w:rPr/>
              <w:t xml:space="preserve"> </w:t>
            </w:r>
          </w:p>
        </w:tc>
        <w:tc>
          <w:tcPr>
            <w:tcW w:w="251" w:type="dxa"/>
            <w:tcBorders/>
            <w:vAlign w:val="center"/>
          </w:tcPr>
          <w:p>
            <w:pPr>
              <w:pStyle w:val="TableContents"/>
              <w:bidi w:val="0"/>
              <w:spacing w:before="0" w:after="0"/>
              <w:jc w:val="left"/>
              <w:rPr/>
            </w:pPr>
            <w:r>
              <w:rPr/>
              <w:t xml:space="preserve">  </w:t>
            </w:r>
          </w:p>
        </w:tc>
      </w:tr>
    </w:tbl>
    <w:p>
      <w:pPr>
        <w:pStyle w:val="TextBody"/>
        <w:bidi w:val="0"/>
        <w:spacing w:before="0" w:after="0"/>
        <w:jc w:val="both"/>
        <w:rPr>
          <w:bdr w:val="single" w:sz="2" w:space="1" w:color="000000"/>
        </w:rPr>
      </w:pPr>
      <w:r>
        <w:rPr>
          <w:bdr w:val="single" w:sz="2" w:space="1" w:color="000000"/>
        </w:rPr>
        <w:t xml:space="preserve">  </w:t>
      </w:r>
    </w:p>
    <w:p>
      <w:pPr>
        <w:pStyle w:val="TextBody"/>
        <w:bidi w:val="0"/>
        <w:spacing w:before="0" w:after="0"/>
        <w:jc w:val="both"/>
        <w:rPr>
          <w:rFonts w:ascii="Times New Roman" w:hAnsi="Times New Roman"/>
          <w:sz w:val="18"/>
          <w:bdr w:val="single" w:sz="2" w:space="1" w:color="000000"/>
        </w:rPr>
      </w:pPr>
      <w:r>
        <w:rPr>
          <w:rFonts w:ascii="Times New Roman" w:hAnsi="Times New Roman"/>
          <w:sz w:val="18"/>
          <w:bdr w:val="single" w:sz="2" w:space="1" w:color="000000"/>
        </w:rPr>
        <w:t xml:space="preserve">Pursuant to the requirements of the Securities Exchange Act of 1934, this report has been signed by the following persons on behalf of the registrant and in the capacities and on the dates indicated: </w:t>
      </w:r>
    </w:p>
    <w:p>
      <w:pPr>
        <w:pStyle w:val="TextBody"/>
        <w:bidi w:val="0"/>
        <w:spacing w:before="0" w:after="0"/>
        <w:jc w:val="left"/>
        <w:rPr>
          <w:bdr w:val="single" w:sz="2" w:space="1" w:color="000000"/>
        </w:rPr>
      </w:pPr>
      <w:r>
        <w:rPr>
          <w:bdr w:val="single" w:sz="2" w:space="1" w:color="000000"/>
        </w:rPr>
        <w:t xml:space="preserve">  </w:t>
      </w:r>
    </w:p>
    <w:tbl>
      <w:tblPr>
        <w:tblW w:w="10205" w:type="dxa"/>
        <w:jc w:val="left"/>
        <w:tblInd w:w="0" w:type="dxa"/>
        <w:tblLayout w:type="fixed"/>
        <w:tblCellMar>
          <w:top w:w="0" w:type="dxa"/>
          <w:left w:w="0" w:type="dxa"/>
          <w:bottom w:w="28" w:type="dxa"/>
          <w:right w:w="0" w:type="dxa"/>
        </w:tblCellMar>
      </w:tblPr>
      <w:tblGrid>
        <w:gridCol w:w="2381"/>
        <w:gridCol w:w="146"/>
        <w:gridCol w:w="5600"/>
        <w:gridCol w:w="146"/>
        <w:gridCol w:w="1932"/>
      </w:tblGrid>
      <w:tr>
        <w:trPr/>
        <w:tc>
          <w:tcPr>
            <w:tcW w:w="2381" w:type="dxa"/>
            <w:tcBorders>
              <w:bottom w:val="single" w:sz="8" w:space="0" w:color="000000"/>
            </w:tcBorders>
            <w:vAlign w:val="center"/>
          </w:tcPr>
          <w:p>
            <w:pPr>
              <w:pStyle w:val="TableContents"/>
              <w:bidi w:val="0"/>
              <w:spacing w:before="0" w:after="283"/>
              <w:jc w:val="center"/>
              <w:rPr/>
            </w:pPr>
            <w:r>
              <w:rPr>
                <w:b/>
              </w:rPr>
              <w:t>Signature</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5600" w:type="dxa"/>
            <w:tcBorders>
              <w:bottom w:val="single" w:sz="8" w:space="0" w:color="000000"/>
            </w:tcBorders>
            <w:vAlign w:val="center"/>
          </w:tcPr>
          <w:p>
            <w:pPr>
              <w:pStyle w:val="TableContents"/>
              <w:bidi w:val="0"/>
              <w:spacing w:before="0" w:after="283"/>
              <w:jc w:val="center"/>
              <w:rPr/>
            </w:pPr>
            <w:r>
              <w:rPr>
                <w:b/>
              </w:rPr>
              <w:t>Title</w:t>
            </w:r>
            <w:r>
              <w:rPr/>
              <w:t xml:space="preserve"> </w:t>
            </w:r>
          </w:p>
        </w:tc>
        <w:tc>
          <w:tcPr>
            <w:tcW w:w="146" w:type="dxa"/>
            <w:tcBorders/>
            <w:tcMar>
              <w:bottom w:w="0" w:type="dxa"/>
            </w:tcMar>
            <w:vAlign w:val="center"/>
          </w:tcPr>
          <w:p>
            <w:pPr>
              <w:pStyle w:val="TableContents"/>
              <w:bidi w:val="0"/>
              <w:spacing w:before="0" w:after="283"/>
              <w:jc w:val="center"/>
              <w:rPr/>
            </w:pPr>
            <w:r>
              <w:rPr/>
              <w:t> </w:t>
            </w:r>
          </w:p>
        </w:tc>
        <w:tc>
          <w:tcPr>
            <w:tcW w:w="1932" w:type="dxa"/>
            <w:tcBorders>
              <w:bottom w:val="single" w:sz="8" w:space="0" w:color="000000"/>
            </w:tcBorders>
            <w:vAlign w:val="center"/>
          </w:tcPr>
          <w:p>
            <w:pPr>
              <w:pStyle w:val="TableContents"/>
              <w:bidi w:val="0"/>
              <w:spacing w:before="0" w:after="283"/>
              <w:jc w:val="center"/>
              <w:rPr/>
            </w:pPr>
            <w:r>
              <w:rPr>
                <w:b/>
              </w:rPr>
              <w:t>Date</w:t>
            </w:r>
            <w:r>
              <w:rPr/>
              <w:t xml:space="preserve"> </w:t>
            </w:r>
          </w:p>
        </w:tc>
      </w:tr>
      <w:tr>
        <w:trPr/>
        <w:tc>
          <w:tcPr>
            <w:tcW w:w="2381"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op w:val="single" w:sz="8" w:space="0" w:color="000000"/>
            </w:tcBorders>
            <w:tcMar>
              <w:top w:w="28" w:type="dxa"/>
              <w:bottom w:w="0" w:type="dxa"/>
            </w:tcMar>
            <w:vAlign w:val="center"/>
          </w:tcPr>
          <w:p>
            <w:pPr>
              <w:pStyle w:val="TableContents"/>
              <w:bidi w:val="0"/>
              <w:spacing w:before="0" w:after="283"/>
              <w:jc w:val="left"/>
              <w:rPr/>
            </w:pPr>
            <w:r>
              <w:rPr/>
              <w:t> </w:t>
            </w:r>
          </w:p>
        </w:tc>
      </w:tr>
      <w:tr>
        <w:trPr/>
        <w:tc>
          <w:tcPr>
            <w:tcW w:w="2381" w:type="dxa"/>
            <w:tcBorders>
              <w:bottom w:val="single" w:sz="8" w:space="0" w:color="000000"/>
            </w:tcBorders>
            <w:vAlign w:val="center"/>
          </w:tcPr>
          <w:p>
            <w:pPr>
              <w:pStyle w:val="TableContents"/>
              <w:bidi w:val="0"/>
              <w:spacing w:before="0" w:after="0"/>
              <w:ind w:left="180" w:right="0" w:hanging="0"/>
              <w:jc w:val="left"/>
              <w:rPr/>
            </w:pPr>
            <w:r>
              <w:rPr/>
              <w:t>/s/ Kevin M. Fogarty</w:t>
            </w:r>
          </w:p>
        </w:tc>
        <w:tc>
          <w:tcPr>
            <w:tcW w:w="146"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0"/>
              <w:jc w:val="left"/>
              <w:rPr/>
            </w:pPr>
            <w:r>
              <w:rPr/>
              <w:t xml:space="preserve">Chairman of the Board and Director </w:t>
            </w:r>
          </w:p>
        </w:tc>
        <w:tc>
          <w:tcPr>
            <w:tcW w:w="146" w:type="dxa"/>
            <w:tcBorders/>
            <w:tcMar>
              <w:bottom w:w="0" w:type="dxa"/>
            </w:tcMar>
            <w:vAlign w:val="center"/>
          </w:tcPr>
          <w:p>
            <w:pPr>
              <w:pStyle w:val="TableContents"/>
              <w:bidi w:val="0"/>
              <w:spacing w:before="0" w:after="283"/>
              <w:jc w:val="center"/>
              <w:rPr/>
            </w:pPr>
            <w:r>
              <w:rPr/>
              <w:t> </w:t>
            </w:r>
          </w:p>
        </w:tc>
        <w:tc>
          <w:tcPr>
            <w:tcW w:w="1932" w:type="dxa"/>
            <w:tcBorders/>
            <w:tcMar>
              <w:bottom w:w="0" w:type="dxa"/>
            </w:tcMar>
            <w:vAlign w:val="center"/>
          </w:tcPr>
          <w:p>
            <w:pPr>
              <w:pStyle w:val="TableContents"/>
              <w:bidi w:val="0"/>
              <w:spacing w:before="0" w:after="283"/>
              <w:jc w:val="center"/>
              <w:rPr/>
            </w:pPr>
            <w:r>
              <w:rPr/>
              <w:t xml:space="preserve">November 25, 2025 </w:t>
            </w:r>
          </w:p>
        </w:tc>
      </w:tr>
      <w:tr>
        <w:trPr/>
        <w:tc>
          <w:tcPr>
            <w:tcW w:w="2381" w:type="dxa"/>
            <w:tcBorders/>
            <w:tcMar>
              <w:top w:w="28" w:type="dxa"/>
              <w:left w:w="28" w:type="dxa"/>
              <w:right w:w="28" w:type="dxa"/>
            </w:tcMar>
            <w:vAlign w:val="center"/>
          </w:tcPr>
          <w:p>
            <w:pPr>
              <w:pStyle w:val="TableContents"/>
              <w:bidi w:val="0"/>
              <w:spacing w:before="0" w:after="0"/>
              <w:ind w:left="180" w:right="0" w:hanging="0"/>
              <w:jc w:val="left"/>
              <w:rPr/>
            </w:pPr>
            <w:r>
              <w:rPr>
                <w:spacing w:val="0"/>
              </w:rPr>
              <w:t>Kevin M. Fogarty</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center"/>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center"/>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bottom w:val="single" w:sz="8" w:space="0" w:color="000000"/>
            </w:tcBorders>
            <w:vAlign w:val="center"/>
          </w:tcPr>
          <w:p>
            <w:pPr>
              <w:pStyle w:val="TableContents"/>
              <w:bidi w:val="0"/>
              <w:spacing w:before="0" w:after="0"/>
              <w:ind w:left="180" w:right="0" w:hanging="0"/>
              <w:jc w:val="left"/>
              <w:rPr/>
            </w:pPr>
            <w:r>
              <w:rPr/>
              <w:t>/s/ Curt Begle</w:t>
            </w:r>
          </w:p>
        </w:tc>
        <w:tc>
          <w:tcPr>
            <w:tcW w:w="146"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0"/>
              <w:jc w:val="left"/>
              <w:rPr/>
            </w:pPr>
            <w:r>
              <w:rPr/>
              <w:t xml:space="preserve">Chief Executive Officer and Director (Principal Executive Officer) </w:t>
            </w:r>
          </w:p>
        </w:tc>
        <w:tc>
          <w:tcPr>
            <w:tcW w:w="146" w:type="dxa"/>
            <w:tcBorders/>
            <w:tcMar>
              <w:bottom w:w="0" w:type="dxa"/>
            </w:tcMar>
            <w:vAlign w:val="center"/>
          </w:tcPr>
          <w:p>
            <w:pPr>
              <w:pStyle w:val="TableContents"/>
              <w:bidi w:val="0"/>
              <w:spacing w:before="0" w:after="283"/>
              <w:jc w:val="center"/>
              <w:rPr/>
            </w:pPr>
            <w:r>
              <w:rPr/>
              <w:t> </w:t>
            </w:r>
          </w:p>
        </w:tc>
        <w:tc>
          <w:tcPr>
            <w:tcW w:w="1932" w:type="dxa"/>
            <w:tcBorders/>
            <w:tcMar>
              <w:bottom w:w="0" w:type="dxa"/>
            </w:tcMar>
            <w:vAlign w:val="center"/>
          </w:tcPr>
          <w:p>
            <w:pPr>
              <w:pStyle w:val="TableContents"/>
              <w:bidi w:val="0"/>
              <w:spacing w:before="0" w:after="283"/>
              <w:jc w:val="center"/>
              <w:rPr/>
            </w:pPr>
            <w:r>
              <w:rPr/>
              <w:t xml:space="preserve">November 25, 2025 </w:t>
            </w:r>
          </w:p>
        </w:tc>
      </w:tr>
      <w:tr>
        <w:trPr/>
        <w:tc>
          <w:tcPr>
            <w:tcW w:w="2381" w:type="dxa"/>
            <w:tcBorders/>
            <w:tcMar>
              <w:top w:w="28" w:type="dxa"/>
              <w:left w:w="28" w:type="dxa"/>
              <w:right w:w="28" w:type="dxa"/>
            </w:tcMar>
            <w:vAlign w:val="center"/>
          </w:tcPr>
          <w:p>
            <w:pPr>
              <w:pStyle w:val="TableContents"/>
              <w:bidi w:val="0"/>
              <w:spacing w:before="0" w:after="0"/>
              <w:ind w:left="180" w:right="0" w:hanging="0"/>
              <w:jc w:val="left"/>
              <w:rPr/>
            </w:pPr>
            <w:r>
              <w:rPr>
                <w:spacing w:val="0"/>
              </w:rPr>
              <w:t>Curt Begle</w:t>
            </w:r>
            <w:r>
              <w:rPr/>
              <w:t xml:space="preserve">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bottom w:val="single" w:sz="8" w:space="0" w:color="000000"/>
            </w:tcBorders>
            <w:vAlign w:val="center"/>
          </w:tcPr>
          <w:p>
            <w:pPr>
              <w:pStyle w:val="TableContents"/>
              <w:bidi w:val="0"/>
              <w:spacing w:before="0" w:after="0"/>
              <w:ind w:left="180" w:right="0" w:hanging="0"/>
              <w:jc w:val="left"/>
              <w:rPr/>
            </w:pPr>
            <w:r>
              <w:rPr/>
              <w:t>/s/ James M. Till</w:t>
            </w:r>
          </w:p>
        </w:tc>
        <w:tc>
          <w:tcPr>
            <w:tcW w:w="146"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0"/>
              <w:jc w:val="left"/>
              <w:rPr/>
            </w:pPr>
            <w:r>
              <w:rPr/>
              <w:t xml:space="preserve">Chief Financial Officer (Principal Financial and Accounting Officer) </w:t>
            </w:r>
          </w:p>
        </w:tc>
        <w:tc>
          <w:tcPr>
            <w:tcW w:w="146" w:type="dxa"/>
            <w:tcBorders/>
            <w:tcMar>
              <w:bottom w:w="0" w:type="dxa"/>
            </w:tcMar>
            <w:vAlign w:val="center"/>
          </w:tcPr>
          <w:p>
            <w:pPr>
              <w:pStyle w:val="TableContents"/>
              <w:bidi w:val="0"/>
              <w:spacing w:before="0" w:after="283"/>
              <w:jc w:val="center"/>
              <w:rPr/>
            </w:pPr>
            <w:r>
              <w:rPr/>
              <w:t> </w:t>
            </w:r>
          </w:p>
        </w:tc>
        <w:tc>
          <w:tcPr>
            <w:tcW w:w="1932" w:type="dxa"/>
            <w:tcBorders/>
            <w:tcMar>
              <w:bottom w:w="0" w:type="dxa"/>
            </w:tcMar>
            <w:vAlign w:val="center"/>
          </w:tcPr>
          <w:p>
            <w:pPr>
              <w:pStyle w:val="TableContents"/>
              <w:bidi w:val="0"/>
              <w:spacing w:before="0" w:after="283"/>
              <w:jc w:val="center"/>
              <w:rPr/>
            </w:pPr>
            <w:r>
              <w:rPr/>
              <w:t xml:space="preserve">November 25, 2025 </w:t>
            </w:r>
          </w:p>
        </w:tc>
      </w:tr>
      <w:tr>
        <w:trPr/>
        <w:tc>
          <w:tcPr>
            <w:tcW w:w="2381" w:type="dxa"/>
            <w:tcBorders/>
            <w:tcMar>
              <w:top w:w="28" w:type="dxa"/>
              <w:left w:w="28" w:type="dxa"/>
              <w:right w:w="28" w:type="dxa"/>
            </w:tcMar>
            <w:vAlign w:val="center"/>
          </w:tcPr>
          <w:p>
            <w:pPr>
              <w:pStyle w:val="TableContents"/>
              <w:bidi w:val="0"/>
              <w:spacing w:before="0" w:after="0"/>
              <w:ind w:left="180" w:right="0" w:hanging="0"/>
              <w:jc w:val="left"/>
              <w:rPr/>
            </w:pPr>
            <w:r>
              <w:rPr>
                <w:spacing w:val="0"/>
              </w:rPr>
              <w:t>James M. Till</w:t>
            </w:r>
            <w:r>
              <w:rPr/>
              <w:t xml:space="preserve">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bottom w:val="single" w:sz="8" w:space="0" w:color="000000"/>
            </w:tcBorders>
            <w:vAlign w:val="center"/>
          </w:tcPr>
          <w:p>
            <w:pPr>
              <w:pStyle w:val="TableContents"/>
              <w:bidi w:val="0"/>
              <w:spacing w:before="0" w:after="0"/>
              <w:ind w:left="180" w:right="0" w:hanging="0"/>
              <w:jc w:val="left"/>
              <w:rPr/>
            </w:pPr>
            <w:r>
              <w:rPr/>
              <w:t>/s/ Bruce Brown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0"/>
              <w:jc w:val="left"/>
              <w:rPr/>
            </w:pPr>
            <w:r>
              <w:rPr/>
              <w:t xml:space="preserve">Director </w:t>
            </w:r>
          </w:p>
        </w:tc>
        <w:tc>
          <w:tcPr>
            <w:tcW w:w="146" w:type="dxa"/>
            <w:tcBorders/>
            <w:tcMar>
              <w:bottom w:w="0" w:type="dxa"/>
            </w:tcMar>
            <w:vAlign w:val="center"/>
          </w:tcPr>
          <w:p>
            <w:pPr>
              <w:pStyle w:val="TableContents"/>
              <w:bidi w:val="0"/>
              <w:spacing w:before="0" w:after="283"/>
              <w:jc w:val="center"/>
              <w:rPr/>
            </w:pPr>
            <w:r>
              <w:rPr/>
              <w:t> </w:t>
            </w:r>
          </w:p>
        </w:tc>
        <w:tc>
          <w:tcPr>
            <w:tcW w:w="1932" w:type="dxa"/>
            <w:tcBorders/>
            <w:tcMar>
              <w:bottom w:w="0" w:type="dxa"/>
            </w:tcMar>
            <w:vAlign w:val="center"/>
          </w:tcPr>
          <w:p>
            <w:pPr>
              <w:pStyle w:val="TableContents"/>
              <w:bidi w:val="0"/>
              <w:spacing w:before="0" w:after="283"/>
              <w:jc w:val="center"/>
              <w:rPr/>
            </w:pPr>
            <w:r>
              <w:rPr/>
              <w:t xml:space="preserve">November 25, 2025 </w:t>
            </w:r>
          </w:p>
        </w:tc>
      </w:tr>
      <w:tr>
        <w:trPr/>
        <w:tc>
          <w:tcPr>
            <w:tcW w:w="2381" w:type="dxa"/>
            <w:tcBorders/>
            <w:tcMar>
              <w:top w:w="28" w:type="dxa"/>
              <w:left w:w="28" w:type="dxa"/>
              <w:right w:w="28" w:type="dxa"/>
            </w:tcMar>
            <w:vAlign w:val="center"/>
          </w:tcPr>
          <w:p>
            <w:pPr>
              <w:pStyle w:val="TableContents"/>
              <w:bidi w:val="0"/>
              <w:spacing w:before="0" w:after="0"/>
              <w:ind w:left="180" w:right="0" w:hanging="0"/>
              <w:jc w:val="left"/>
              <w:rPr/>
            </w:pPr>
            <w:r>
              <w:rPr>
                <w:spacing w:val="0"/>
              </w:rPr>
              <w:t>Bruce Brown</w:t>
            </w:r>
            <w:r>
              <w:rPr/>
              <w:t xml:space="preserve">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bottom w:val="single" w:sz="8" w:space="0" w:color="000000"/>
            </w:tcBorders>
            <w:vAlign w:val="center"/>
          </w:tcPr>
          <w:p>
            <w:pPr>
              <w:pStyle w:val="TableContents"/>
              <w:bidi w:val="0"/>
              <w:spacing w:before="0" w:after="0"/>
              <w:ind w:left="180" w:right="0" w:hanging="0"/>
              <w:jc w:val="left"/>
              <w:rPr/>
            </w:pPr>
            <w:r>
              <w:rPr/>
              <w:t>/s/ Michael S. Curless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0"/>
              <w:jc w:val="left"/>
              <w:rPr/>
            </w:pPr>
            <w:r>
              <w:rPr/>
              <w:t xml:space="preserve">Director </w:t>
            </w:r>
          </w:p>
        </w:tc>
        <w:tc>
          <w:tcPr>
            <w:tcW w:w="146" w:type="dxa"/>
            <w:tcBorders/>
            <w:tcMar>
              <w:bottom w:w="0" w:type="dxa"/>
            </w:tcMar>
            <w:vAlign w:val="center"/>
          </w:tcPr>
          <w:p>
            <w:pPr>
              <w:pStyle w:val="TableContents"/>
              <w:bidi w:val="0"/>
              <w:spacing w:before="0" w:after="283"/>
              <w:jc w:val="center"/>
              <w:rPr/>
            </w:pPr>
            <w:r>
              <w:rPr/>
              <w:t> </w:t>
            </w:r>
          </w:p>
        </w:tc>
        <w:tc>
          <w:tcPr>
            <w:tcW w:w="1932" w:type="dxa"/>
            <w:tcBorders/>
            <w:tcMar>
              <w:bottom w:w="0" w:type="dxa"/>
            </w:tcMar>
            <w:vAlign w:val="center"/>
          </w:tcPr>
          <w:p>
            <w:pPr>
              <w:pStyle w:val="TableContents"/>
              <w:bidi w:val="0"/>
              <w:spacing w:before="0" w:after="283"/>
              <w:jc w:val="center"/>
              <w:rPr/>
            </w:pPr>
            <w:r>
              <w:rPr/>
              <w:t xml:space="preserve">November 25, 2025 </w:t>
            </w:r>
          </w:p>
        </w:tc>
      </w:tr>
      <w:tr>
        <w:trPr/>
        <w:tc>
          <w:tcPr>
            <w:tcW w:w="2381" w:type="dxa"/>
            <w:tcBorders/>
            <w:tcMar>
              <w:top w:w="28" w:type="dxa"/>
              <w:left w:w="28" w:type="dxa"/>
              <w:right w:w="28" w:type="dxa"/>
            </w:tcMar>
            <w:vAlign w:val="center"/>
          </w:tcPr>
          <w:p>
            <w:pPr>
              <w:pStyle w:val="TableContents"/>
              <w:bidi w:val="0"/>
              <w:spacing w:before="0" w:after="0"/>
              <w:ind w:left="180" w:right="0" w:hanging="0"/>
              <w:jc w:val="left"/>
              <w:rPr/>
            </w:pPr>
            <w:r>
              <w:rPr>
                <w:spacing w:val="0"/>
              </w:rPr>
              <w:t>Michael S. Curless</w:t>
            </w:r>
            <w:r>
              <w:rPr/>
              <w:t xml:space="preserve">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bottom w:val="single" w:sz="8" w:space="0" w:color="000000"/>
            </w:tcBorders>
            <w:vAlign w:val="center"/>
          </w:tcPr>
          <w:p>
            <w:pPr>
              <w:pStyle w:val="TableContents"/>
              <w:bidi w:val="0"/>
              <w:spacing w:before="0" w:after="0"/>
              <w:ind w:left="180" w:right="0" w:hanging="0"/>
              <w:jc w:val="left"/>
              <w:rPr/>
            </w:pPr>
            <w:r>
              <w:rPr/>
              <w:t>/s/ Thomas M. Fahnemann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0"/>
              <w:jc w:val="left"/>
              <w:rPr/>
            </w:pPr>
            <w:r>
              <w:rPr/>
              <w:t xml:space="preserve">Director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xml:space="preserve">November 25, 2025 </w:t>
            </w:r>
          </w:p>
        </w:tc>
      </w:tr>
      <w:tr>
        <w:trPr/>
        <w:tc>
          <w:tcPr>
            <w:tcW w:w="2381" w:type="dxa"/>
            <w:tcBorders>
              <w:top w:val="single" w:sz="8" w:space="0" w:color="000000"/>
            </w:tcBorders>
            <w:tcMar>
              <w:top w:w="28" w:type="dxa"/>
              <w:bottom w:w="0" w:type="dxa"/>
            </w:tcMar>
            <w:vAlign w:val="center"/>
          </w:tcPr>
          <w:p>
            <w:pPr>
              <w:pStyle w:val="TableContents"/>
              <w:bidi w:val="0"/>
              <w:spacing w:before="0" w:after="0"/>
              <w:ind w:left="180" w:right="0" w:hanging="0"/>
              <w:jc w:val="left"/>
              <w:rPr/>
            </w:pPr>
            <w:r>
              <w:rPr>
                <w:spacing w:val="0"/>
              </w:rPr>
              <w:t>Thomas M. Fahnemann</w:t>
            </w:r>
            <w:r>
              <w:rPr/>
              <w:t xml:space="preserve">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bottom w:val="single" w:sz="8" w:space="0" w:color="000000"/>
            </w:tcBorders>
            <w:vAlign w:val="center"/>
          </w:tcPr>
          <w:p>
            <w:pPr>
              <w:pStyle w:val="TableContents"/>
              <w:bidi w:val="0"/>
              <w:spacing w:before="0" w:after="0"/>
              <w:ind w:left="180" w:right="0" w:hanging="0"/>
              <w:jc w:val="left"/>
              <w:rPr/>
            </w:pPr>
            <w:r>
              <w:rPr/>
              <w:t>/s/ Mary D. Hall</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0"/>
              <w:jc w:val="left"/>
              <w:rPr/>
            </w:pPr>
            <w:r>
              <w:rPr/>
              <w:t xml:space="preserve">Director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xml:space="preserve">November 25, 2025 </w:t>
            </w:r>
          </w:p>
        </w:tc>
      </w:tr>
      <w:tr>
        <w:trPr/>
        <w:tc>
          <w:tcPr>
            <w:tcW w:w="2381" w:type="dxa"/>
            <w:tcBorders>
              <w:top w:val="single" w:sz="8" w:space="0" w:color="000000"/>
            </w:tcBorders>
            <w:tcMar>
              <w:top w:w="28" w:type="dxa"/>
              <w:bottom w:w="0" w:type="dxa"/>
            </w:tcMar>
            <w:vAlign w:val="center"/>
          </w:tcPr>
          <w:p>
            <w:pPr>
              <w:pStyle w:val="TableContents"/>
              <w:bidi w:val="0"/>
              <w:spacing w:before="0" w:after="0"/>
              <w:ind w:left="180" w:right="0" w:hanging="0"/>
              <w:jc w:val="left"/>
              <w:rPr/>
            </w:pPr>
            <w:r>
              <w:rPr>
                <w:spacing w:val="0"/>
              </w:rPr>
              <w:t>Mary D. Hall</w:t>
            </w:r>
            <w:r>
              <w:rPr/>
              <w:t xml:space="preserve">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bottom w:val="single" w:sz="8" w:space="0" w:color="000000"/>
            </w:tcBorders>
            <w:vAlign w:val="center"/>
          </w:tcPr>
          <w:p>
            <w:pPr>
              <w:pStyle w:val="TableContents"/>
              <w:bidi w:val="0"/>
              <w:spacing w:before="0" w:after="0"/>
              <w:ind w:left="180" w:right="0" w:hanging="0"/>
              <w:jc w:val="left"/>
              <w:rPr/>
            </w:pPr>
            <w:r>
              <w:rPr/>
              <w:t>/s/ Samantha J. Marnick</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0"/>
              <w:jc w:val="left"/>
              <w:rPr/>
            </w:pPr>
            <w:r>
              <w:rPr/>
              <w:t xml:space="preserve">Director </w:t>
            </w:r>
          </w:p>
        </w:tc>
        <w:tc>
          <w:tcPr>
            <w:tcW w:w="146" w:type="dxa"/>
            <w:tcBorders/>
            <w:tcMar>
              <w:bottom w:w="0" w:type="dxa"/>
            </w:tcMar>
            <w:vAlign w:val="center"/>
          </w:tcPr>
          <w:p>
            <w:pPr>
              <w:pStyle w:val="TableContents"/>
              <w:bidi w:val="0"/>
              <w:spacing w:before="0" w:after="283"/>
              <w:jc w:val="center"/>
              <w:rPr/>
            </w:pPr>
            <w:r>
              <w:rPr/>
              <w:t> </w:t>
            </w:r>
          </w:p>
        </w:tc>
        <w:tc>
          <w:tcPr>
            <w:tcW w:w="1932" w:type="dxa"/>
            <w:tcBorders/>
            <w:tcMar>
              <w:bottom w:w="0" w:type="dxa"/>
            </w:tcMar>
            <w:vAlign w:val="center"/>
          </w:tcPr>
          <w:p>
            <w:pPr>
              <w:pStyle w:val="TableContents"/>
              <w:bidi w:val="0"/>
              <w:spacing w:before="0" w:after="283"/>
              <w:jc w:val="center"/>
              <w:rPr/>
            </w:pPr>
            <w:r>
              <w:rPr/>
              <w:t xml:space="preserve">November 25, 2025 </w:t>
            </w:r>
          </w:p>
        </w:tc>
      </w:tr>
      <w:tr>
        <w:trPr/>
        <w:tc>
          <w:tcPr>
            <w:tcW w:w="2381" w:type="dxa"/>
            <w:tcBorders/>
            <w:tcMar>
              <w:top w:w="28" w:type="dxa"/>
              <w:left w:w="28" w:type="dxa"/>
              <w:right w:w="28" w:type="dxa"/>
            </w:tcMar>
            <w:vAlign w:val="center"/>
          </w:tcPr>
          <w:p>
            <w:pPr>
              <w:pStyle w:val="TableContents"/>
              <w:bidi w:val="0"/>
              <w:spacing w:before="0" w:after="0"/>
              <w:ind w:left="180" w:right="0" w:hanging="0"/>
              <w:jc w:val="left"/>
              <w:rPr/>
            </w:pPr>
            <w:r>
              <w:rPr>
                <w:spacing w:val="0"/>
              </w:rPr>
              <w:t>Samantha J. Marnick</w:t>
            </w:r>
            <w:r>
              <w:rPr/>
              <w:t xml:space="preserve">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bottom w:val="single" w:sz="8" w:space="0" w:color="000000"/>
            </w:tcBorders>
            <w:vAlign w:val="center"/>
          </w:tcPr>
          <w:p>
            <w:pPr>
              <w:pStyle w:val="TableContents"/>
              <w:bidi w:val="0"/>
              <w:spacing w:before="0" w:after="0"/>
              <w:ind w:left="180" w:right="0" w:hanging="0"/>
              <w:jc w:val="left"/>
              <w:rPr/>
            </w:pPr>
            <w:r>
              <w:rPr/>
              <w:t>/s/ C. Rick Rickertsen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0"/>
              <w:jc w:val="left"/>
              <w:rPr/>
            </w:pPr>
            <w:r>
              <w:rPr/>
              <w:t xml:space="preserve">Director </w:t>
            </w:r>
          </w:p>
        </w:tc>
        <w:tc>
          <w:tcPr>
            <w:tcW w:w="146" w:type="dxa"/>
            <w:tcBorders/>
            <w:tcMar>
              <w:bottom w:w="0" w:type="dxa"/>
            </w:tcMar>
            <w:vAlign w:val="center"/>
          </w:tcPr>
          <w:p>
            <w:pPr>
              <w:pStyle w:val="TableContents"/>
              <w:bidi w:val="0"/>
              <w:spacing w:before="0" w:after="283"/>
              <w:jc w:val="center"/>
              <w:rPr/>
            </w:pPr>
            <w:r>
              <w:rPr/>
              <w:t> </w:t>
            </w:r>
          </w:p>
        </w:tc>
        <w:tc>
          <w:tcPr>
            <w:tcW w:w="1932" w:type="dxa"/>
            <w:tcBorders/>
            <w:tcMar>
              <w:bottom w:w="0" w:type="dxa"/>
            </w:tcMar>
            <w:vAlign w:val="center"/>
          </w:tcPr>
          <w:p>
            <w:pPr>
              <w:pStyle w:val="TableContents"/>
              <w:bidi w:val="0"/>
              <w:spacing w:before="0" w:after="283"/>
              <w:jc w:val="center"/>
              <w:rPr/>
            </w:pPr>
            <w:r>
              <w:rPr/>
              <w:t xml:space="preserve">November 25, 2025 </w:t>
            </w:r>
          </w:p>
        </w:tc>
      </w:tr>
      <w:tr>
        <w:trPr/>
        <w:tc>
          <w:tcPr>
            <w:tcW w:w="2381" w:type="dxa"/>
            <w:tcBorders/>
            <w:tcMar>
              <w:top w:w="28" w:type="dxa"/>
              <w:left w:w="28" w:type="dxa"/>
              <w:right w:w="28" w:type="dxa"/>
            </w:tcMar>
            <w:vAlign w:val="center"/>
          </w:tcPr>
          <w:p>
            <w:pPr>
              <w:pStyle w:val="TableContents"/>
              <w:bidi w:val="0"/>
              <w:spacing w:before="0" w:after="0"/>
              <w:ind w:left="180" w:right="0" w:hanging="0"/>
              <w:jc w:val="left"/>
              <w:rPr/>
            </w:pPr>
            <w:r>
              <w:rPr/>
              <w:t>C. Rick Rickertsen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bottom w:val="single" w:sz="8" w:space="0" w:color="000000"/>
            </w:tcBorders>
            <w:vAlign w:val="center"/>
          </w:tcPr>
          <w:p>
            <w:pPr>
              <w:pStyle w:val="TableContents"/>
              <w:bidi w:val="0"/>
              <w:spacing w:before="0" w:after="0"/>
              <w:ind w:left="180" w:right="0" w:hanging="0"/>
              <w:jc w:val="left"/>
              <w:rPr/>
            </w:pPr>
            <w:r>
              <w:rPr/>
              <w:t>/s/ Thomas E.Salmon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0"/>
              <w:jc w:val="left"/>
              <w:rPr/>
            </w:pPr>
            <w:r>
              <w:rPr/>
              <w:t xml:space="preserve">Director </w:t>
            </w:r>
          </w:p>
        </w:tc>
        <w:tc>
          <w:tcPr>
            <w:tcW w:w="146" w:type="dxa"/>
            <w:tcBorders/>
            <w:tcMar>
              <w:bottom w:w="0" w:type="dxa"/>
            </w:tcMar>
            <w:vAlign w:val="center"/>
          </w:tcPr>
          <w:p>
            <w:pPr>
              <w:pStyle w:val="TableContents"/>
              <w:bidi w:val="0"/>
              <w:spacing w:before="0" w:after="283"/>
              <w:jc w:val="center"/>
              <w:rPr/>
            </w:pPr>
            <w:r>
              <w:rPr/>
              <w:t> </w:t>
            </w:r>
          </w:p>
        </w:tc>
        <w:tc>
          <w:tcPr>
            <w:tcW w:w="1932" w:type="dxa"/>
            <w:tcBorders/>
            <w:tcMar>
              <w:bottom w:w="0" w:type="dxa"/>
            </w:tcMar>
            <w:vAlign w:val="center"/>
          </w:tcPr>
          <w:p>
            <w:pPr>
              <w:pStyle w:val="TableContents"/>
              <w:bidi w:val="0"/>
              <w:spacing w:before="0" w:after="283"/>
              <w:jc w:val="center"/>
              <w:rPr/>
            </w:pPr>
            <w:r>
              <w:rPr/>
              <w:t xml:space="preserve">November 25, 2025 </w:t>
            </w:r>
          </w:p>
        </w:tc>
      </w:tr>
      <w:tr>
        <w:trPr/>
        <w:tc>
          <w:tcPr>
            <w:tcW w:w="2381" w:type="dxa"/>
            <w:tcBorders/>
            <w:tcMar>
              <w:top w:w="28" w:type="dxa"/>
              <w:left w:w="28" w:type="dxa"/>
              <w:right w:w="28" w:type="dxa"/>
            </w:tcMar>
            <w:vAlign w:val="center"/>
          </w:tcPr>
          <w:p>
            <w:pPr>
              <w:pStyle w:val="TableContents"/>
              <w:bidi w:val="0"/>
              <w:spacing w:before="0" w:after="0"/>
              <w:ind w:left="180" w:right="0" w:hanging="0"/>
              <w:jc w:val="left"/>
              <w:rPr/>
            </w:pPr>
            <w:r>
              <w:rPr/>
              <w:t>Thomas E. Salmon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bottom w:w="0" w:type="dxa"/>
            </w:tcMar>
            <w:vAlign w:val="center"/>
          </w:tcPr>
          <w:p>
            <w:pPr>
              <w:pStyle w:val="TableContents"/>
              <w:bidi w:val="0"/>
              <w:spacing w:before="0" w:after="283"/>
              <w:jc w:val="center"/>
              <w:rPr/>
            </w:pPr>
            <w:r>
              <w:rPr/>
              <w:t> </w:t>
            </w:r>
          </w:p>
        </w:tc>
      </w:tr>
      <w:tr>
        <w:trPr/>
        <w:tc>
          <w:tcPr>
            <w:tcW w:w="2381" w:type="dxa"/>
            <w:tcBorders/>
            <w:tcMar>
              <w:bottom w:w="0"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6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32" w:type="dxa"/>
            <w:tcBorders/>
            <w:tcMar>
              <w:top w:w="28" w:type="dxa"/>
              <w:left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bdr w:val="single" w:sz="2" w:space="1" w:color="000000"/>
        </w:rPr>
        <w:t>35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bdr w:val="single" w:sz="2" w:space="1" w:color="000000"/>
        </w:rPr>
      </w:pPr>
      <w:r>
        <w:rPr>
          <w:caps w:val="false"/>
          <w:smallCaps w:val="false"/>
          <w:strike w:val="false"/>
          <w:dstrike w:val="false"/>
          <w:u w:val="none"/>
          <w:effect w:val="none"/>
          <w:bdr w:val="single" w:sz="2" w:space="1" w:color="000000"/>
        </w:rPr>
        <w:t> </w:t>
      </w:r>
    </w:p>
    <w:p>
      <w:pPr>
        <w:pStyle w:val="TextBody"/>
        <w:bidi w:val="0"/>
        <w:jc w:val="center"/>
        <w:rPr>
          <w:bdr w:val="single" w:sz="2" w:space="1" w:color="000000"/>
        </w:rPr>
      </w:pPr>
      <w:r>
        <w:rPr>
          <w:bdr w:val="single" w:sz="2" w:space="1" w:color="000000"/>
        </w:rPr>
        <w:t> </w:t>
      </w:r>
    </w:p>
    <w:p>
      <w:pPr>
        <w:pStyle w:val="HorizontalLine"/>
        <w:bidi w:val="0"/>
        <w:jc w:val="left"/>
        <w:rPr/>
      </w:pPr>
      <w:r>
        <w:rPr/>
      </w:r>
      <w:bookmarkStart w:id="31" w:name="exhibit10-10.htm"/>
      <w:bookmarkStart w:id="32" w:name="ksexhibit1010"/>
      <w:bookmarkStart w:id="33" w:name="exhibit10-10.htm"/>
      <w:bookmarkStart w:id="34" w:name="ksexhibit1010"/>
      <w:bookmarkEnd w:id="33"/>
      <w:bookmarkEnd w:id="34"/>
      <w:r>
        <w:br w:type="page"/>
      </w:r>
    </w:p>
    <w:p>
      <w:pPr>
        <w:pStyle w:val="TextBody"/>
        <w:bidi w:val="0"/>
        <w:spacing w:before="0" w:after="0"/>
        <w:ind w:left="0" w:right="348" w:hanging="0"/>
        <w:jc w:val="right"/>
        <w:rPr>
          <w:b/>
          <w:sz w:val="20"/>
        </w:rPr>
      </w:pPr>
      <w:r>
        <w:rPr>
          <w:b/>
          <w:sz w:val="20"/>
        </w:rPr>
        <w:t>Exhibit 10.10</w:t>
      </w:r>
    </w:p>
    <w:p>
      <w:pPr>
        <w:pStyle w:val="TextBody"/>
        <w:bidi w:val="0"/>
        <w:spacing w:before="0" w:after="0"/>
        <w:ind w:left="0" w:right="348" w:hanging="0"/>
        <w:jc w:val="right"/>
        <w:rPr/>
      </w:pPr>
      <w:r>
        <w:rPr/>
        <w:t> </w:t>
      </w:r>
    </w:p>
    <w:p>
      <w:pPr>
        <w:pStyle w:val="TextBody"/>
        <w:bidi w:val="0"/>
        <w:spacing w:before="0" w:after="0"/>
        <w:ind w:left="0" w:right="348" w:hanging="0"/>
        <w:jc w:val="right"/>
        <w:rPr/>
      </w:pPr>
      <w:r>
        <w:rPr>
          <w:b/>
          <w:i/>
          <w:sz w:val="20"/>
        </w:rPr>
        <w:t>Execution Version</w:t>
      </w:r>
      <w:r>
        <w:rPr/>
        <w:t xml:space="preserve"> </w:t>
      </w:r>
    </w:p>
    <w:p>
      <w:pPr>
        <w:pStyle w:val="TextBody"/>
        <w:bidi w:val="0"/>
        <w:spacing w:before="0" w:after="0"/>
        <w:ind w:left="2" w:right="352" w:hanging="0"/>
        <w:jc w:val="center"/>
        <w:rPr>
          <w:b/>
        </w:rPr>
      </w:pPr>
      <w:r>
        <w:rPr>
          <w:b/>
          <w:sz w:val="20"/>
        </w:rPr>
        <w:t>AMENDMENT NO. 1 TO THE</w:t>
      </w:r>
      <w:r>
        <w:rPr>
          <w:b/>
        </w:rPr>
        <w:t xml:space="preserve"> </w:t>
      </w:r>
    </w:p>
    <w:p>
      <w:pPr>
        <w:pStyle w:val="TextBody"/>
        <w:bidi w:val="0"/>
        <w:spacing w:before="0" w:after="0"/>
        <w:ind w:left="0" w:right="352" w:hanging="0"/>
        <w:jc w:val="center"/>
        <w:rPr/>
      </w:pPr>
      <w:r>
        <w:rPr>
          <w:b/>
          <w:sz w:val="20"/>
        </w:rPr>
        <w:t>ASSET-BASED REVOLVING CREDIT AGREEMENT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sz w:val="20"/>
        </w:rPr>
        <w:t>This AMENDMENT NO. 1 TO THE ASSET-BASED REVOLVING CREDIT AGREEMENT, dated as of February 4, 2025 (this “</w:t>
      </w:r>
      <w:r>
        <w:rPr>
          <w:sz w:val="20"/>
          <w:u w:val="single"/>
        </w:rPr>
        <w:t>Amendment</w:t>
      </w:r>
      <w:r>
        <w:rPr/>
        <w:t>”</w:t>
      </w:r>
      <w:r>
        <w:rPr>
          <w:sz w:val="20"/>
        </w:rPr>
        <w:t>), is entered into by and among MAGNERA CORPORATION (f/k/a Glatfelter Corporation), a Pennsylvania corporation (the “</w:t>
      </w:r>
      <w:r>
        <w:rPr>
          <w:sz w:val="20"/>
          <w:u w:val="single"/>
        </w:rPr>
        <w:t>U.S. Borrower</w:t>
      </w:r>
      <w:r>
        <w:rPr/>
        <w:t>”</w:t>
      </w:r>
      <w:r>
        <w:rPr>
          <w:sz w:val="20"/>
        </w:rPr>
        <w:t>), GLATFELTER GATINEAU LTÉE, a Canadian corporation (the “</w:t>
      </w:r>
      <w:r>
        <w:rPr>
          <w:sz w:val="20"/>
          <w:u w:val="single"/>
        </w:rPr>
        <w:t>Canadian Borrower</w:t>
      </w:r>
      <w:r>
        <w:rPr/>
        <w:t>”</w:t>
      </w:r>
      <w:r>
        <w:rPr>
          <w:sz w:val="20"/>
        </w:rPr>
        <w:t>), GLATFELTER LYDNEY, LTD., a company incorporated in England and Wales with company number 05734921, GLATFELTER CAERPHILLY LIMITED, a company incorporated in England and Wales with company number 05285231, FIBERWEB GEOSYNTHETICS LIMITED, a company incorporated in England and Wales with company number 01589762 (together, the “</w:t>
      </w:r>
      <w:r>
        <w:rPr>
          <w:sz w:val="20"/>
          <w:u w:val="single"/>
        </w:rPr>
        <w:t>U.K. Borrowers</w:t>
      </w:r>
      <w:r>
        <w:rPr/>
        <w:t xml:space="preserve">” </w:t>
      </w:r>
      <w:r>
        <w:rPr>
          <w:sz w:val="20"/>
        </w:rPr>
        <w:t xml:space="preserve">and each a </w:t>
      </w:r>
      <w:r>
        <w:rPr>
          <w:sz w:val="20"/>
          <w:u w:val="single"/>
        </w:rPr>
        <w:t>U.K. Borrower</w:t>
      </w:r>
      <w:r>
        <w:rPr/>
        <w:t>”</w:t>
      </w:r>
      <w:r>
        <w:rPr>
          <w:sz w:val="20"/>
        </w:rPr>
        <w:t>), the German Borrowers (as defined in the Existing Credit Agreement; the German Borrowers, together with the U.S. Borrower, the Canadian Borrower and the U.K. Borrowers, collectively, the “</w:t>
      </w:r>
      <w:r>
        <w:rPr>
          <w:sz w:val="20"/>
          <w:u w:val="single"/>
        </w:rPr>
        <w:t>Borrowers</w:t>
      </w:r>
      <w:r>
        <w:rPr/>
        <w:t xml:space="preserve">” </w:t>
      </w:r>
      <w:r>
        <w:rPr>
          <w:sz w:val="20"/>
        </w:rPr>
        <w:t>and each, a “</w:t>
      </w:r>
      <w:r>
        <w:rPr>
          <w:sz w:val="20"/>
          <w:u w:val="single"/>
        </w:rPr>
        <w:t>Borrower</w:t>
      </w:r>
      <w:r>
        <w:rPr/>
        <w:t>”</w:t>
      </w:r>
      <w:r>
        <w:rPr>
          <w:sz w:val="20"/>
        </w:rPr>
        <w:t>), the financial institutions party hereto (the “</w:t>
      </w:r>
      <w:r>
        <w:rPr>
          <w:sz w:val="20"/>
          <w:u w:val="single"/>
        </w:rPr>
        <w:t>Consenting Lenders</w:t>
      </w:r>
      <w:r>
        <w:rPr/>
        <w:t>”</w:t>
      </w:r>
      <w:r>
        <w:rPr>
          <w:sz w:val="20"/>
        </w:rPr>
        <w:t>) and Wells Fargo Bank, National Association, as administrative agent (in such capacity, together with its successors and assigns in such capacity, the “</w:t>
      </w:r>
      <w:r>
        <w:rPr>
          <w:sz w:val="20"/>
          <w:u w:val="single"/>
        </w:rPr>
        <w:t>Administrative Agent</w:t>
      </w:r>
      <w:r>
        <w:rPr/>
        <w:t>”</w:t>
      </w:r>
      <w:r>
        <w:rPr>
          <w:sz w:val="20"/>
        </w:rPr>
        <w:t>) and collateral agent (in such capacities, together with its successors and assigns in such capacities, the “</w:t>
      </w:r>
      <w:r>
        <w:rPr>
          <w:sz w:val="20"/>
          <w:u w:val="single"/>
        </w:rPr>
        <w:t>Collateral Agent</w:t>
      </w:r>
      <w:r>
        <w:rPr/>
        <w:t>”</w:t>
      </w:r>
      <w:r>
        <w:rPr>
          <w:sz w:val="20"/>
        </w:rPr>
        <w:t>) under the Existing Credit Agreement.</w:t>
      </w:r>
      <w:r>
        <w:rPr/>
        <w:t xml:space="preserve"> </w:t>
      </w:r>
    </w:p>
    <w:p>
      <w:pPr>
        <w:pStyle w:val="TextBody"/>
        <w:bidi w:val="0"/>
        <w:spacing w:before="0" w:after="0"/>
        <w:ind w:left="1" w:right="0" w:hanging="0"/>
        <w:jc w:val="center"/>
        <w:rPr/>
      </w:pPr>
      <w:r>
        <w:rPr/>
        <w:t xml:space="preserve">  </w:t>
      </w:r>
    </w:p>
    <w:p>
      <w:pPr>
        <w:pStyle w:val="TextBody"/>
        <w:bidi w:val="0"/>
        <w:spacing w:before="0" w:after="0"/>
        <w:ind w:left="1" w:right="0" w:hanging="0"/>
        <w:jc w:val="center"/>
        <w:rPr>
          <w:b/>
        </w:rPr>
      </w:pPr>
      <w:r>
        <w:rPr>
          <w:b/>
          <w:sz w:val="20"/>
        </w:rPr>
        <w:t>PRELIMINARY STATEMENTS:</w:t>
      </w:r>
      <w:r>
        <w:rPr>
          <w:b/>
        </w:rPr>
        <w:t xml:space="preserve"> </w:t>
      </w:r>
    </w:p>
    <w:p>
      <w:pPr>
        <w:pStyle w:val="TextBody"/>
        <w:bidi w:val="0"/>
        <w:spacing w:before="0" w:after="0"/>
        <w:ind w:left="1" w:right="0" w:hanging="0"/>
        <w:jc w:val="center"/>
        <w:rPr/>
      </w:pPr>
      <w:r>
        <w:rPr/>
        <w:t xml:space="preserve">  </w:t>
      </w:r>
    </w:p>
    <w:p>
      <w:pPr>
        <w:pStyle w:val="TextBody"/>
        <w:bidi w:val="0"/>
        <w:spacing w:before="0" w:after="0"/>
        <w:ind w:left="0" w:right="0" w:firstLine="722"/>
        <w:jc w:val="both"/>
        <w:rPr/>
      </w:pPr>
      <w:r>
        <w:rPr>
          <w:sz w:val="20"/>
        </w:rPr>
        <w:t>The Borrowers, the lenders from time to time party thereto, the Administrative Agent and the Collateral Agent entered into that certain Asset-Based Revolving Credit Agreement, dated as of November 4, 2024 (as amended, restated, amended and restated, supplemented or otherwise modified from time to time prior to the date hereof, the “</w:t>
      </w:r>
      <w:r>
        <w:rPr>
          <w:sz w:val="20"/>
          <w:u w:val="single"/>
        </w:rPr>
        <w:t>Existing Credit Agreement</w:t>
      </w:r>
      <w:r>
        <w:rPr/>
        <w:t>”</w:t>
      </w:r>
      <w:r>
        <w:rPr>
          <w:sz w:val="20"/>
        </w:rPr>
        <w:t>; capitalized terms used herein but not otherwise defined herein shall have the meaning given thereto in the Existing Credit Agreement);</w:t>
      </w:r>
      <w:r>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6565" cy="175260"/>
                <wp:effectExtent l="0" t="0" r="0" b="0"/>
                <wp:wrapSquare wrapText="right"/>
                <wp:docPr id="3" name="Frame2"/>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Pursuant and subject to Section 9.08(b) of the Existing Credit Agreement, the Existing Credit Agreement may be amended by the Borrowers and the Required Lenders, and the Borrowers have requested the Consenting Lenders (which constitute the Required Lenders) amend the Existing Credit Agreement as set forth herein. The Existing Credit Agreement, as amended by this Amendment, is referred to herein as the “</w:t>
      </w:r>
      <w:r>
        <w:rPr>
          <w:sz w:val="20"/>
          <w:u w:val="single"/>
        </w:rPr>
        <w:t>Amended Credit Agreement</w:t>
      </w:r>
      <w:r>
        <w:rPr/>
        <w:t>”</w:t>
      </w:r>
      <w:r>
        <w:rPr>
          <w:sz w:val="20"/>
        </w:rPr>
        <w:t>.</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6565" cy="175260"/>
                <wp:effectExtent l="0" t="0" r="0" b="0"/>
                <wp:wrapSquare wrapText="right"/>
                <wp:docPr id="4" name="Frame3"/>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NOW, THEREFORE, in consideration of the premises and in order to induce the parties hereto to enter into the transactions described herein, and for other good and valuable consideration, the receipt and sufficiency of which are hereby acknowledged, each of the Administrative Agent, the Consenting Lenders and the Borrowers covenant and agree as follows:</w:t>
      </w:r>
      <w:r>
        <w:rPr/>
        <w:t xml:space="preserve"> </w:t>
      </w:r>
    </w:p>
    <w:p>
      <w:pPr>
        <w:pStyle w:val="TextBody"/>
        <w:bidi w:val="0"/>
        <w:spacing w:before="0" w:after="0"/>
        <w:ind w:left="722" w:right="0" w:hanging="0"/>
        <w:jc w:val="left"/>
        <w:rPr/>
      </w:pPr>
      <w:r>
        <w:rPr/>
        <w:t xml:space="preserve">  </w:t>
      </w:r>
    </w:p>
    <w:p>
      <w:pPr>
        <w:pStyle w:val="TextBody"/>
        <w:bidi w:val="0"/>
        <w:spacing w:before="0" w:after="0"/>
        <w:ind w:left="722" w:right="0" w:hanging="0"/>
        <w:jc w:val="left"/>
        <w:rPr/>
      </w:pPr>
      <w:r>
        <w:rPr>
          <w:sz w:val="20"/>
          <w:u w:val="single"/>
        </w:rPr>
        <w:t>Amendment</w:t>
      </w:r>
      <w:r>
        <w:rPr>
          <w:sz w:val="20"/>
        </w:rPr>
        <w:t>.</w:t>
      </w: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491615" cy="175260"/>
                <wp:effectExtent l="0" t="0" r="0" b="0"/>
                <wp:wrapSquare wrapText="right"/>
                <wp:docPr id="5" name="Frame4"/>
                <a:graphic xmlns:a="http://schemas.openxmlformats.org/drawingml/2006/main">
                  <a:graphicData uri="http://schemas.microsoft.com/office/word/2010/wordprocessingShape">
                    <wps:wsp>
                      <wps:cNvSpPr txBox="1"/>
                      <wps:spPr>
                        <a:xfrm>
                          <a:off x="0" y="0"/>
                          <a:ext cx="1491615" cy="175260"/>
                        </a:xfrm>
                        <a:prstGeom prst="rect"/>
                        <a:solidFill>
                          <a:srgbClr val="FFFFFF"/>
                        </a:solidFill>
                      </wps:spPr>
                      <wps:txbx>
                        <w:txbxContent>
                          <w:p>
                            <w:pPr>
                              <w:pStyle w:val="TextBody"/>
                              <w:bidi w:val="0"/>
                              <w:spacing w:before="0" w:after="283"/>
                              <w:jc w:val="left"/>
                              <w:rPr/>
                            </w:pPr>
                            <w:r>
                              <w:rPr>
                                <w:sz w:val="20"/>
                              </w:rPr>
                              <w:t>SECTION 1.</w:t>
                            </w:r>
                            <w:r>
                              <w:rPr/>
                              <w:t xml:space="preserve"> </w:t>
                            </w:r>
                          </w:p>
                        </w:txbxContent>
                      </wps:txbx>
                      <wps:bodyPr anchor="t" lIns="0" tIns="0" rIns="0" bIns="0">
                        <a:noAutofit/>
                      </wps:bodyPr>
                    </wps:wsp>
                  </a:graphicData>
                </a:graphic>
              </wp:anchor>
            </w:drawing>
          </mc:Choice>
          <mc:Fallback>
            <w:pict>
              <v:rect style="position:absolute;rotation:-0;width:1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SECTION 1.</w:t>
                      </w:r>
                      <w:r>
                        <w:rPr/>
                        <w:t xml:space="preserve"> </w:t>
                      </w:r>
                    </w:p>
                  </w:txbxContent>
                </v:textbox>
                <w10:wrap type="square" side="right"/>
              </v:rect>
            </w:pict>
          </mc:Fallback>
        </mc:AlternateContent>
      </w:r>
    </w:p>
    <w:p>
      <w:pPr>
        <w:pStyle w:val="TextBody"/>
        <w:bidi w:val="0"/>
        <w:spacing w:before="0" w:after="0"/>
        <w:ind w:left="722" w:right="0" w:hanging="0"/>
        <w:jc w:val="left"/>
        <w:rPr/>
      </w:pPr>
      <w:r>
        <w:rPr/>
        <w:t xml:space="preserve">  </w:t>
      </w:r>
    </w:p>
    <w:p>
      <w:pPr>
        <w:pStyle w:val="TextBody"/>
        <w:bidi w:val="0"/>
        <w:spacing w:before="0" w:after="0"/>
        <w:ind w:left="0" w:right="0" w:firstLine="722"/>
        <w:jc w:val="both"/>
        <w:rPr/>
      </w:pPr>
      <w:r>
        <w:rPr>
          <w:sz w:val="20"/>
        </w:rPr>
        <w:t xml:space="preserve">The definition of “Pricing Grid” in Section 1.01 of the Existing Credit Agreement shall be amended to delete the stricken text (indicated textually in the same manner as the following example: </w:t>
      </w:r>
      <w:r>
        <w:rPr>
          <w:strike/>
          <w:color w:val="FF0000"/>
          <w:sz w:val="20"/>
        </w:rPr>
        <w:t>stricken text</w:t>
      </w:r>
      <w:r>
        <w:rPr>
          <w:sz w:val="20"/>
        </w:rPr>
        <w:t>) and to add the double-underlined text (indicated textually in the same manner as the following example:</w:t>
      </w:r>
      <w:r>
        <w:rPr>
          <w:color w:val="0000FF"/>
          <w:u w:val="single"/>
        </w:rPr>
        <w:t xml:space="preserve"> </w:t>
      </w:r>
      <w:r>
        <w:rPr>
          <w:color w:val="0000FF"/>
          <w:sz w:val="20"/>
          <w:u w:val="single"/>
        </w:rPr>
        <w:t>double-underlined text</w:t>
      </w:r>
      <w:r>
        <w:rPr>
          <w:sz w:val="20"/>
        </w:rPr>
        <w:t>) as set forth below:</w:t>
      </w:r>
      <w:r>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6"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2" w:right="0" w:hanging="0"/>
        <w:jc w:val="left"/>
        <w:rPr/>
      </w:pPr>
      <w:r>
        <w:rPr/>
        <w:t> </w:t>
      </w:r>
    </w:p>
    <w:p>
      <w:pPr>
        <w:pStyle w:val="TextBody"/>
        <w:bidi w:val="0"/>
        <w:spacing w:before="0" w:after="0"/>
        <w:ind w:left="722" w:right="0" w:hanging="0"/>
        <w:jc w:val="left"/>
        <w:rPr/>
      </w:pPr>
      <w:r>
        <w:rPr/>
        <w:t>““</w:t>
      </w:r>
      <w:r>
        <w:rPr>
          <w:sz w:val="20"/>
          <w:u w:val="single"/>
        </w:rPr>
        <w:t>Pricing Grid</w:t>
      </w:r>
      <w:r>
        <w:rPr/>
        <w:t xml:space="preserve">” </w:t>
      </w:r>
      <w:r>
        <w:rPr>
          <w:sz w:val="20"/>
        </w:rPr>
        <w:t>shall mean, with respect to the Revolving Loans, the table set forth below:</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601"/>
        <w:gridCol w:w="3165"/>
        <w:gridCol w:w="2581"/>
        <w:gridCol w:w="3858"/>
      </w:tblGrid>
      <w:tr>
        <w:trPr/>
        <w:tc>
          <w:tcPr>
            <w:tcW w:w="601" w:type="dxa"/>
            <w:tcBorders/>
            <w:vAlign w:val="center"/>
          </w:tcPr>
          <w:p>
            <w:pPr>
              <w:pStyle w:val="TableContents"/>
              <w:bidi w:val="0"/>
              <w:spacing w:before="0" w:after="283"/>
              <w:jc w:val="left"/>
              <w:rPr/>
            </w:pPr>
            <w:r>
              <w:rPr/>
              <w:t> </w:t>
            </w:r>
          </w:p>
        </w:tc>
        <w:tc>
          <w:tcPr>
            <w:tcW w:w="3165"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left"/>
              <w:rPr/>
            </w:pPr>
            <w:r>
              <w:rPr/>
              <w:t> </w:t>
            </w:r>
          </w:p>
        </w:tc>
        <w:tc>
          <w:tcPr>
            <w:tcW w:w="3858" w:type="dxa"/>
            <w:tcBorders/>
            <w:vAlign w:val="center"/>
          </w:tcPr>
          <w:p>
            <w:pPr>
              <w:pStyle w:val="TableContents"/>
              <w:bidi w:val="0"/>
              <w:spacing w:before="0" w:after="283"/>
              <w:jc w:val="left"/>
              <w:rPr/>
            </w:pPr>
            <w:r>
              <w:rPr/>
              <w:t> </w:t>
            </w:r>
          </w:p>
        </w:tc>
      </w:tr>
      <w:tr>
        <w:trPr/>
        <w:tc>
          <w:tcPr>
            <w:tcW w:w="601" w:type="dxa"/>
            <w:tcBorders>
              <w:top w:val="double" w:sz="6" w:space="0" w:color="000000"/>
              <w:left w:val="double" w:sz="6" w:space="0" w:color="000000"/>
              <w:bottom w:val="single" w:sz="8" w:space="0" w:color="000000"/>
              <w:right w:val="single" w:sz="8" w:space="0" w:color="000000"/>
            </w:tcBorders>
            <w:vAlign w:val="center"/>
          </w:tcPr>
          <w:p>
            <w:pPr>
              <w:pStyle w:val="TableContents"/>
              <w:bidi w:val="0"/>
              <w:spacing w:before="0" w:after="0"/>
              <w:jc w:val="center"/>
              <w:rPr>
                <w:b/>
                <w:sz w:val="20"/>
              </w:rPr>
            </w:pPr>
            <w:r>
              <w:rPr>
                <w:b/>
                <w:sz w:val="20"/>
              </w:rPr>
              <w:t>Level</w:t>
            </w:r>
          </w:p>
        </w:tc>
        <w:tc>
          <w:tcPr>
            <w:tcW w:w="3165" w:type="dxa"/>
            <w:tcBorders>
              <w:top w:val="double" w:sz="6"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r>
          </w:p>
          <w:p>
            <w:pPr>
              <w:pStyle w:val="TableContents"/>
              <w:bidi w:val="0"/>
              <w:spacing w:before="0" w:after="0"/>
              <w:ind w:left="225" w:right="0" w:hanging="0"/>
              <w:jc w:val="center"/>
              <w:rPr/>
            </w:pPr>
            <w:r>
              <w:rPr>
                <w:b/>
                <w:sz w:val="20"/>
              </w:rPr>
              <w:t>Quarterly Average Daily Combined Availability</w:t>
              <w:br/>
              <w:t>(as a percentage of the Combined Line Cap)</w:t>
            </w:r>
            <w:r>
              <w:rPr/>
              <w:t xml:space="preserve"> </w:t>
            </w:r>
          </w:p>
        </w:tc>
        <w:tc>
          <w:tcPr>
            <w:tcW w:w="2581" w:type="dxa"/>
            <w:tcBorders>
              <w:top w:val="double" w:sz="6" w:space="0" w:color="000000"/>
              <w:left w:val="single" w:sz="8" w:space="0" w:color="000000"/>
              <w:bottom w:val="single" w:sz="8" w:space="0" w:color="000000"/>
              <w:right w:val="single" w:sz="8" w:space="0" w:color="000000"/>
            </w:tcBorders>
            <w:vAlign w:val="center"/>
          </w:tcPr>
          <w:p>
            <w:pPr>
              <w:pStyle w:val="TableContents"/>
              <w:bidi w:val="0"/>
              <w:spacing w:before="0" w:after="0"/>
              <w:ind w:left="136" w:right="0" w:hanging="0"/>
              <w:jc w:val="center"/>
              <w:rPr/>
            </w:pPr>
            <w:r>
              <w:rPr>
                <w:b/>
                <w:sz w:val="20"/>
              </w:rPr>
              <w:t>Applicable Margin for Base</w:t>
            </w:r>
            <w:r>
              <w:rPr/>
              <w:t xml:space="preserve"> </w:t>
            </w:r>
          </w:p>
          <w:p>
            <w:pPr>
              <w:pStyle w:val="TableContents"/>
              <w:bidi w:val="0"/>
              <w:spacing w:before="0" w:after="0"/>
              <w:ind w:left="136" w:right="0" w:hanging="0"/>
              <w:jc w:val="center"/>
              <w:rPr/>
            </w:pPr>
            <w:r>
              <w:rPr>
                <w:b/>
                <w:sz w:val="20"/>
              </w:rPr>
              <w:t xml:space="preserve">Rate Loans </w:t>
            </w:r>
            <w:r>
              <w:rPr>
                <w:b/>
                <w:strike/>
                <w:color w:val="FF0000"/>
                <w:sz w:val="20"/>
              </w:rPr>
              <w:t>or Daily Simple RFR Loans</w:t>
            </w:r>
            <w:r>
              <w:rPr/>
              <w:t xml:space="preserve"> </w:t>
            </w:r>
          </w:p>
        </w:tc>
        <w:tc>
          <w:tcPr>
            <w:tcW w:w="3858" w:type="dxa"/>
            <w:tcBorders>
              <w:top w:val="double" w:sz="6" w:space="0" w:color="000000"/>
              <w:left w:val="single" w:sz="8" w:space="0" w:color="000000"/>
              <w:bottom w:val="single" w:sz="8" w:space="0" w:color="000000"/>
              <w:right w:val="double" w:sz="6" w:space="0" w:color="000000"/>
            </w:tcBorders>
            <w:vAlign w:val="center"/>
          </w:tcPr>
          <w:p>
            <w:pPr>
              <w:pStyle w:val="TableContents"/>
              <w:bidi w:val="0"/>
              <w:spacing w:before="0" w:after="0"/>
              <w:ind w:left="177" w:right="156" w:firstLine="1"/>
              <w:jc w:val="center"/>
              <w:rPr/>
            </w:pPr>
            <w:r>
              <w:rPr>
                <w:b/>
                <w:sz w:val="20"/>
              </w:rPr>
              <w:t>Applicable Margin for Term Rate Loans</w:t>
            </w:r>
            <w:r>
              <w:rPr>
                <w:color w:val="0000FF"/>
                <w:sz w:val="20"/>
              </w:rPr>
              <w:t xml:space="preserve">, </w:t>
            </w:r>
            <w:r>
              <w:rPr>
                <w:b/>
                <w:strike/>
                <w:color w:val="FF0000"/>
                <w:sz w:val="20"/>
              </w:rPr>
              <w:t>or</w:t>
            </w:r>
            <w:r>
              <w:rPr/>
              <w:t xml:space="preserve"> </w:t>
            </w:r>
          </w:p>
          <w:p>
            <w:pPr>
              <w:pStyle w:val="TableContents"/>
              <w:bidi w:val="0"/>
              <w:spacing w:before="0" w:after="0"/>
              <w:ind w:left="108" w:right="87" w:hanging="0"/>
              <w:jc w:val="center"/>
              <w:rPr/>
            </w:pPr>
            <w:r>
              <w:rPr>
                <w:b/>
                <w:sz w:val="20"/>
              </w:rPr>
              <w:t xml:space="preserve">Daily Resetting Term Rate Loans </w:t>
            </w:r>
            <w:r>
              <w:rPr>
                <w:color w:val="0000FF"/>
                <w:sz w:val="20"/>
                <w:u w:val="single"/>
              </w:rPr>
              <w:t>or Daily Simple</w:t>
            </w:r>
            <w:r>
              <w:rPr>
                <w:color w:val="0000FF"/>
              </w:rPr>
              <w:t> </w:t>
            </w:r>
            <w:r>
              <w:rPr>
                <w:color w:val="0000FF"/>
                <w:sz w:val="20"/>
                <w:u w:val="single"/>
              </w:rPr>
              <w:t>RFR Loans</w:t>
            </w:r>
            <w:r>
              <w:rPr/>
              <w:t xml:space="preserve"> </w:t>
            </w:r>
          </w:p>
        </w:tc>
      </w:tr>
      <w:tr>
        <w:trPr/>
        <w:tc>
          <w:tcPr>
            <w:tcW w:w="601" w:type="dxa"/>
            <w:tcBorders>
              <w:top w:val="single" w:sz="8" w:space="0" w:color="000000"/>
              <w:left w:val="double" w:sz="6" w:space="0" w:color="000000"/>
              <w:bottom w:val="single" w:sz="8" w:space="0" w:color="000000"/>
              <w:right w:val="single" w:sz="8" w:space="0" w:color="000000"/>
            </w:tcBorders>
            <w:vAlign w:val="center"/>
          </w:tcPr>
          <w:p>
            <w:pPr>
              <w:pStyle w:val="TableContents"/>
              <w:bidi w:val="0"/>
              <w:spacing w:before="0" w:after="0"/>
              <w:ind w:left="0" w:right="1" w:hanging="0"/>
              <w:jc w:val="center"/>
              <w:rPr/>
            </w:pPr>
            <w:r>
              <w:rPr>
                <w:sz w:val="20"/>
              </w:rPr>
              <w:t>I</w:t>
            </w:r>
            <w:r>
              <w:rPr/>
              <w:t xml:space="preserve"> </w:t>
            </w:r>
          </w:p>
        </w:tc>
        <w:tc>
          <w:tcPr>
            <w:tcW w:w="31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7" w:right="0" w:hanging="0"/>
              <w:jc w:val="center"/>
              <w:rPr/>
            </w:pPr>
            <w:r>
              <w:rPr>
                <w:sz w:val="20"/>
              </w:rPr>
              <w:t>Less than 33.33%</w:t>
            </w:r>
            <w:r>
              <w:rPr/>
              <w:t xml:space="preserve"> </w:t>
            </w:r>
          </w:p>
        </w:tc>
        <w:tc>
          <w:tcPr>
            <w:tcW w:w="25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11" w:right="0" w:hanging="0"/>
              <w:jc w:val="center"/>
              <w:rPr/>
            </w:pPr>
            <w:r>
              <w:rPr>
                <w:sz w:val="20"/>
              </w:rPr>
              <w:t>1.00%</w:t>
            </w:r>
            <w:r>
              <w:rPr/>
              <w:t xml:space="preserve"> </w:t>
            </w:r>
          </w:p>
        </w:tc>
        <w:tc>
          <w:tcPr>
            <w:tcW w:w="3858" w:type="dxa"/>
            <w:tcBorders>
              <w:top w:val="single" w:sz="8" w:space="0" w:color="000000"/>
              <w:left w:val="single" w:sz="8" w:space="0" w:color="000000"/>
              <w:bottom w:val="single" w:sz="8" w:space="0" w:color="000000"/>
              <w:right w:val="double" w:sz="6" w:space="0" w:color="000000"/>
            </w:tcBorders>
            <w:vAlign w:val="center"/>
          </w:tcPr>
          <w:p>
            <w:pPr>
              <w:pStyle w:val="TableContents"/>
              <w:bidi w:val="0"/>
              <w:spacing w:before="0" w:after="0"/>
              <w:ind w:left="110" w:right="87" w:hanging="0"/>
              <w:jc w:val="center"/>
              <w:rPr/>
            </w:pPr>
            <w:r>
              <w:rPr>
                <w:sz w:val="20"/>
              </w:rPr>
              <w:t>2.00%</w:t>
            </w:r>
            <w:r>
              <w:rPr/>
              <w:t xml:space="preserve"> </w:t>
            </w:r>
          </w:p>
        </w:tc>
      </w:tr>
      <w:tr>
        <w:trPr/>
        <w:tc>
          <w:tcPr>
            <w:tcW w:w="601" w:type="dxa"/>
            <w:tcBorders>
              <w:top w:val="single" w:sz="8" w:space="0" w:color="000000"/>
              <w:left w:val="double" w:sz="6" w:space="0" w:color="000000"/>
              <w:bottom w:val="single" w:sz="8" w:space="0" w:color="000000"/>
              <w:right w:val="single" w:sz="8" w:space="0" w:color="000000"/>
            </w:tcBorders>
            <w:vAlign w:val="center"/>
          </w:tcPr>
          <w:p>
            <w:pPr>
              <w:pStyle w:val="TableContents"/>
              <w:bidi w:val="0"/>
              <w:spacing w:before="0" w:after="0"/>
              <w:ind w:left="0" w:right="1" w:hanging="0"/>
              <w:jc w:val="center"/>
              <w:rPr/>
            </w:pPr>
            <w:r>
              <w:rPr>
                <w:sz w:val="20"/>
              </w:rPr>
              <w:t>II</w:t>
            </w:r>
            <w:r>
              <w:rPr/>
              <w:t xml:space="preserve"> </w:t>
            </w:r>
          </w:p>
        </w:tc>
        <w:tc>
          <w:tcPr>
            <w:tcW w:w="31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550"/>
              <w:jc w:val="center"/>
              <w:rPr/>
            </w:pPr>
            <w:r>
              <w:rPr>
                <w:sz w:val="20"/>
              </w:rPr>
              <w:t>Greater than or equal to 33.33% but less than 66.7%</w:t>
            </w:r>
            <w:r>
              <w:rPr/>
              <w:t xml:space="preserve"> </w:t>
            </w:r>
          </w:p>
        </w:tc>
        <w:tc>
          <w:tcPr>
            <w:tcW w:w="25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11" w:right="0" w:hanging="0"/>
              <w:jc w:val="center"/>
              <w:rPr/>
            </w:pPr>
            <w:r>
              <w:rPr>
                <w:sz w:val="20"/>
              </w:rPr>
              <w:t>0.75%</w:t>
            </w:r>
            <w:r>
              <w:rPr/>
              <w:t xml:space="preserve"> </w:t>
            </w:r>
          </w:p>
        </w:tc>
        <w:tc>
          <w:tcPr>
            <w:tcW w:w="3858" w:type="dxa"/>
            <w:tcBorders>
              <w:top w:val="single" w:sz="8" w:space="0" w:color="000000"/>
              <w:left w:val="single" w:sz="8" w:space="0" w:color="000000"/>
              <w:bottom w:val="single" w:sz="8" w:space="0" w:color="000000"/>
              <w:right w:val="double" w:sz="6" w:space="0" w:color="000000"/>
            </w:tcBorders>
            <w:vAlign w:val="center"/>
          </w:tcPr>
          <w:p>
            <w:pPr>
              <w:pStyle w:val="TableContents"/>
              <w:bidi w:val="0"/>
              <w:spacing w:before="0" w:after="0"/>
              <w:ind w:left="110" w:right="87" w:hanging="0"/>
              <w:jc w:val="center"/>
              <w:rPr/>
            </w:pPr>
            <w:r>
              <w:rPr>
                <w:sz w:val="20"/>
              </w:rPr>
              <w:t>1.75%</w:t>
            </w:r>
            <w:r>
              <w:rPr/>
              <w:t xml:space="preserve"> </w:t>
            </w:r>
          </w:p>
        </w:tc>
      </w:tr>
      <w:tr>
        <w:trPr/>
        <w:tc>
          <w:tcPr>
            <w:tcW w:w="601" w:type="dxa"/>
            <w:tcBorders>
              <w:top w:val="single" w:sz="8" w:space="0" w:color="000000"/>
              <w:left w:val="double" w:sz="6" w:space="0" w:color="000000"/>
              <w:bottom w:val="double" w:sz="6" w:space="0" w:color="000000"/>
              <w:right w:val="single" w:sz="8" w:space="0" w:color="000000"/>
            </w:tcBorders>
            <w:vAlign w:val="center"/>
          </w:tcPr>
          <w:p>
            <w:pPr>
              <w:pStyle w:val="TableContents"/>
              <w:bidi w:val="0"/>
              <w:spacing w:before="0" w:after="0"/>
              <w:ind w:left="0" w:right="1" w:hanging="0"/>
              <w:jc w:val="center"/>
              <w:rPr/>
            </w:pPr>
            <w:r>
              <w:rPr>
                <w:sz w:val="20"/>
              </w:rPr>
              <w:t>III</w:t>
            </w:r>
            <w:r>
              <w:rPr/>
              <w:t xml:space="preserve"> </w:t>
            </w:r>
          </w:p>
        </w:tc>
        <w:tc>
          <w:tcPr>
            <w:tcW w:w="3165" w:type="dxa"/>
            <w:tcBorders>
              <w:top w:val="single" w:sz="8" w:space="0" w:color="000000"/>
              <w:left w:val="single" w:sz="8" w:space="0" w:color="000000"/>
              <w:bottom w:val="double" w:sz="6" w:space="0" w:color="000000"/>
              <w:right w:val="single" w:sz="8" w:space="0" w:color="000000"/>
            </w:tcBorders>
            <w:vAlign w:val="center"/>
          </w:tcPr>
          <w:p>
            <w:pPr>
              <w:pStyle w:val="TableContents"/>
              <w:bidi w:val="0"/>
              <w:spacing w:before="0" w:after="0"/>
              <w:ind w:left="7" w:right="1" w:hanging="0"/>
              <w:jc w:val="center"/>
              <w:rPr/>
            </w:pPr>
            <w:r>
              <w:rPr>
                <w:sz w:val="20"/>
              </w:rPr>
              <w:t>Greater than or equal to 66.7%</w:t>
            </w:r>
            <w:r>
              <w:rPr/>
              <w:t xml:space="preserve"> </w:t>
            </w:r>
          </w:p>
        </w:tc>
        <w:tc>
          <w:tcPr>
            <w:tcW w:w="2581" w:type="dxa"/>
            <w:tcBorders>
              <w:top w:val="single" w:sz="8" w:space="0" w:color="000000"/>
              <w:left w:val="single" w:sz="8" w:space="0" w:color="000000"/>
              <w:bottom w:val="double" w:sz="6" w:space="0" w:color="000000"/>
              <w:right w:val="single" w:sz="8" w:space="0" w:color="000000"/>
            </w:tcBorders>
            <w:vAlign w:val="center"/>
          </w:tcPr>
          <w:p>
            <w:pPr>
              <w:pStyle w:val="TableContents"/>
              <w:bidi w:val="0"/>
              <w:spacing w:before="0" w:after="0"/>
              <w:ind w:left="11" w:right="0" w:hanging="0"/>
              <w:jc w:val="center"/>
              <w:rPr/>
            </w:pPr>
            <w:r>
              <w:rPr>
                <w:sz w:val="20"/>
              </w:rPr>
              <w:t>0.50%</w:t>
            </w:r>
            <w:r>
              <w:rPr/>
              <w:t xml:space="preserve"> </w:t>
            </w:r>
          </w:p>
        </w:tc>
        <w:tc>
          <w:tcPr>
            <w:tcW w:w="3858" w:type="dxa"/>
            <w:tcBorders>
              <w:top w:val="single" w:sz="8" w:space="0" w:color="000000"/>
              <w:left w:val="single" w:sz="8" w:space="0" w:color="000000"/>
              <w:bottom w:val="double" w:sz="6" w:space="0" w:color="000000"/>
              <w:right w:val="double" w:sz="6" w:space="0" w:color="000000"/>
            </w:tcBorders>
            <w:vAlign w:val="center"/>
          </w:tcPr>
          <w:p>
            <w:pPr>
              <w:pStyle w:val="TableContents"/>
              <w:bidi w:val="0"/>
              <w:spacing w:before="0" w:after="0"/>
              <w:ind w:left="110" w:right="87" w:hanging="0"/>
              <w:jc w:val="center"/>
              <w:rPr/>
            </w:pPr>
            <w:r>
              <w:rPr>
                <w:sz w:val="20"/>
              </w:rPr>
              <w:t>1.50%</w:t>
            </w:r>
            <w:r>
              <w:rPr/>
              <w:t xml:space="preserve"> </w:t>
            </w:r>
          </w:p>
        </w:tc>
      </w:tr>
    </w:tbl>
    <w:p>
      <w:pPr>
        <w:pStyle w:val="TextBody"/>
        <w:bidi w:val="0"/>
        <w:spacing w:before="0" w:after="0"/>
        <w:jc w:val="both"/>
        <w:rPr/>
      </w:pPr>
      <w:r>
        <w:rPr/>
        <w:t xml:space="preserve">  </w:t>
      </w:r>
    </w:p>
    <w:p>
      <w:pPr>
        <w:pStyle w:val="TextBody"/>
        <w:bidi w:val="0"/>
        <w:spacing w:before="0" w:after="0"/>
        <w:jc w:val="both"/>
        <w:rPr/>
      </w:pPr>
      <w:r>
        <w:rPr>
          <w:sz w:val="20"/>
        </w:rPr>
        <w:t>For the purposes of the Pricing Grid, changes in the Applicable Margin shall become effective on the first day of each calendar quarter, commencing with the first day of the second full calendar quarter after the Closing Date (to be effective from such date until changed pursuant to the Pricing Grid), and shall be determined in accordance with the Pricing Grid based on average daily Combined Availability during the immediately preceding fiscal quarter.”</w:t>
      </w:r>
      <w:r>
        <w:rPr/>
        <w:t xml:space="preserve"> </w: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 xml:space="preserve">Section 6.02(b) of the Existing Credit Agreement shall be amended to delete the stricken text (indicated textually in the same manner as the following example: </w:t>
      </w:r>
      <w:r>
        <w:rPr>
          <w:strike/>
          <w:color w:val="FF0000"/>
          <w:sz w:val="20"/>
        </w:rPr>
        <w:t>stricken text</w:t>
      </w:r>
      <w:r>
        <w:rPr>
          <w:sz w:val="20"/>
        </w:rPr>
        <w:t>) and to add the double-underlined text (indicated textually in the same manner as the following example:</w:t>
      </w:r>
      <w:r>
        <w:rPr>
          <w:color w:val="0000FF"/>
          <w:u w:val="single"/>
        </w:rPr>
        <w:t xml:space="preserve"> </w:t>
      </w:r>
      <w:r>
        <w:rPr>
          <w:color w:val="0000FF"/>
          <w:sz w:val="20"/>
          <w:u w:val="single"/>
        </w:rPr>
        <w:t>double-underlined text</w:t>
      </w:r>
      <w:r>
        <w:rPr>
          <w:sz w:val="20"/>
        </w:rPr>
        <w:t>) as set forth below:</w:t>
      </w:r>
      <w:r>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7"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722" w:right="0" w:hanging="0"/>
        <w:jc w:val="both"/>
        <w:rPr/>
      </w:pPr>
      <w:r>
        <w:rPr/>
        <w:t>“</w:t>
      </w:r>
      <w:r>
        <w:rPr>
          <w:sz w:val="20"/>
        </w:rPr>
        <w:t>any Lien created under the Loan Documents (including, without limitation, Liens created under the Security Documents securing Hedge Obligations owed to a person that is a Hedge Provider)</w:t>
      </w:r>
      <w:r>
        <w:rPr>
          <w:color w:val="FF0000"/>
          <w:sz w:val="20"/>
        </w:rPr>
        <w:t xml:space="preserve">; </w:t>
      </w:r>
      <w:r>
        <w:rPr>
          <w:color w:val="0000FF"/>
          <w:sz w:val="20"/>
          <w:u w:val="single"/>
        </w:rPr>
        <w:t>and,</w:t>
      </w:r>
      <w:r>
        <w:rPr>
          <w:color w:val="0000FF"/>
        </w:rPr>
        <w:t> </w:t>
      </w:r>
      <w:r>
        <w:rPr>
          <w:sz w:val="20"/>
          <w:u w:val="single"/>
        </w:rPr>
        <w:t>provided</w:t>
      </w:r>
      <w:r>
        <w:rPr/>
        <w:t xml:space="preserve"> </w:t>
      </w:r>
      <w:r>
        <w:rPr>
          <w:sz w:val="20"/>
        </w:rPr>
        <w:t xml:space="preserve">that </w:t>
      </w:r>
      <w:r>
        <w:rPr>
          <w:color w:val="0000FF"/>
          <w:sz w:val="20"/>
          <w:u w:val="single"/>
        </w:rPr>
        <w:t>(with respect to Liens securing Indebtedness of the Borrower or a Subsidiary</w:t>
      </w:r>
      <w:r>
        <w:rPr>
          <w:color w:val="0000FF"/>
        </w:rPr>
        <w:t> </w:t>
      </w:r>
      <w:r>
        <w:rPr>
          <w:color w:val="0000FF"/>
          <w:sz w:val="20"/>
          <w:u w:val="single"/>
        </w:rPr>
        <w:t xml:space="preserve">Loan Party) </w:t>
      </w:r>
      <w:r>
        <w:rPr>
          <w:sz w:val="20"/>
        </w:rPr>
        <w:t>such Liens are subject to the terms of the ABL Intercreditor Agreement</w:t>
      </w:r>
      <w:r>
        <w:rPr>
          <w:color w:val="0000FF"/>
          <w:sz w:val="20"/>
          <w:u w:val="single"/>
        </w:rPr>
        <w:t>, and any</w:t>
      </w:r>
      <w:r>
        <w:rPr>
          <w:color w:val="0000FF"/>
        </w:rPr>
        <w:t> </w:t>
      </w:r>
      <w:r>
        <w:rPr>
          <w:color w:val="0000FF"/>
          <w:sz w:val="20"/>
          <w:u w:val="single"/>
        </w:rPr>
        <w:t>Lien securing the Term Loan Credit Agreement or any Indebtedness or obligations under the</w:t>
      </w:r>
      <w:r>
        <w:rPr>
          <w:color w:val="0000FF"/>
        </w:rPr>
        <w:t> </w:t>
      </w:r>
      <w:r>
        <w:rPr>
          <w:color w:val="0000FF"/>
          <w:sz w:val="20"/>
          <w:u w:val="single"/>
        </w:rPr>
        <w:t>Term Loan Credit Agreement or any “Loan Documents” thereunder permitted by Section</w:t>
      </w:r>
      <w:r>
        <w:rPr>
          <w:color w:val="0000FF"/>
        </w:rPr>
        <w:t> </w:t>
      </w:r>
      <w:r>
        <w:rPr>
          <w:color w:val="0000FF"/>
          <w:sz w:val="20"/>
          <w:u w:val="single"/>
        </w:rPr>
        <w:t>6.01(l)(iii)</w:t>
      </w:r>
      <w:r>
        <w:rPr>
          <w:sz w:val="20"/>
        </w:rPr>
        <w:t>;”</w:t>
      </w:r>
      <w:r>
        <w:rPr/>
        <w:t xml:space="preserve"> </w:t>
      </w:r>
    </w:p>
    <w:p>
      <w:pPr>
        <w:pStyle w:val="TextBody"/>
        <w:bidi w:val="0"/>
        <w:spacing w:before="0" w:after="0"/>
        <w:ind w:left="722" w:right="0" w:hanging="0"/>
        <w:jc w:val="both"/>
        <w:rPr/>
      </w:pPr>
      <w:r>
        <w:rPr/>
        <w:t xml:space="preserve">  </w:t>
      </w:r>
    </w:p>
    <w:p>
      <w:pPr>
        <w:pStyle w:val="TextBody"/>
        <w:bidi w:val="0"/>
        <w:spacing w:before="0" w:after="0"/>
        <w:ind w:left="0" w:right="0" w:firstLine="722"/>
        <w:jc w:val="both"/>
        <w:rPr/>
      </w:pPr>
      <w:r>
        <w:rPr>
          <w:sz w:val="20"/>
        </w:rPr>
        <w:t>The following definitions are hereby added to Section 1.01 of the Existing Credit Agreement in proper alphabetical order:</w:t>
      </w:r>
      <w:r>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8"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722" w:right="0" w:hanging="0"/>
        <w:jc w:val="both"/>
        <w:rPr/>
      </w:pPr>
      <w:r>
        <w:rPr/>
        <w:t>“</w:t>
      </w:r>
      <w:r>
        <w:rPr>
          <w:sz w:val="20"/>
          <w:u w:val="single"/>
        </w:rPr>
        <w:t>Secured Net Debt</w:t>
      </w:r>
      <w:r>
        <w:rPr/>
        <w:t xml:space="preserve">” </w:t>
      </w:r>
      <w:r>
        <w:rPr>
          <w:sz w:val="20"/>
        </w:rPr>
        <w:t>at any date shall mean (i) the aggregate principal amount of Consolidated Debt of the Company and its Subsidiaries outstanding at such date that consists of, without duplication, Indebtedness that in each case is then secured by Liens on the Collateral, less (ii) without duplication, the Unrestricted Cash and Permitted Investments of the Company and its Subsidiaries on such date.</w:t>
      </w:r>
      <w:r>
        <w:rPr/>
        <w:t xml:space="preserve"> </w:t>
      </w:r>
    </w:p>
    <w:p>
      <w:pPr>
        <w:pStyle w:val="TextBody"/>
        <w:bidi w:val="0"/>
        <w:spacing w:before="0" w:after="0"/>
        <w:ind w:left="722" w:right="0" w:hanging="0"/>
        <w:jc w:val="both"/>
        <w:rPr/>
      </w:pPr>
      <w:r>
        <w:rPr/>
        <w:t xml:space="preserve">  </w:t>
      </w:r>
    </w:p>
    <w:p>
      <w:pPr>
        <w:pStyle w:val="TextBody"/>
        <w:bidi w:val="0"/>
        <w:spacing w:before="0" w:after="0"/>
        <w:ind w:left="722" w:right="0" w:hanging="0"/>
        <w:jc w:val="both"/>
        <w:rPr/>
      </w:pPr>
      <w:r>
        <w:rPr/>
        <w:t>“</w:t>
      </w:r>
      <w:r>
        <w:rPr>
          <w:sz w:val="20"/>
          <w:u w:val="single"/>
        </w:rPr>
        <w:t>Total Net Debt</w:t>
      </w:r>
      <w:r>
        <w:rPr/>
        <w:t xml:space="preserve">” </w:t>
      </w:r>
      <w:r>
        <w:rPr>
          <w:sz w:val="20"/>
        </w:rPr>
        <w:t>at any date shall mean (i) the aggregate principal amount of Consolidated Debt of the Company and its Subsidiaries outstanding at such date (other than property or assets held in a defeasance or similar trust or arrangement for the benefit of the Indebtedness secured thereby), less (ii) without duplication, the Unrestricted Cash and Permitted Investments of the Company and its Subsidiaries on such date.</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2" w:right="0" w:hanging="0"/>
        <w:jc w:val="both"/>
        <w:rPr/>
      </w:pPr>
      <w:r>
        <w:rPr/>
        <w:t> </w:t>
      </w:r>
    </w:p>
    <w:p>
      <w:pPr>
        <w:pStyle w:val="TextBody"/>
        <w:bidi w:val="0"/>
        <w:spacing w:before="0" w:after="0"/>
        <w:ind w:left="722" w:right="0" w:hanging="0"/>
        <w:jc w:val="both"/>
        <w:rPr/>
      </w:pPr>
      <w:r>
        <w:rPr/>
        <w:t>“</w:t>
      </w:r>
      <w:r>
        <w:rPr>
          <w:sz w:val="20"/>
          <w:u w:val="single"/>
        </w:rPr>
        <w:t>Total Net Leverage Ratio</w:t>
      </w:r>
      <w:r>
        <w:rPr/>
        <w:t xml:space="preserve">” </w:t>
      </w:r>
      <w:r>
        <w:rPr>
          <w:sz w:val="20"/>
        </w:rPr>
        <w:t xml:space="preserve">shall mean, on any date, the ratio of (a) Total Net Debt as of such date to (b) EBITDA for the most recently ended Test Period; </w:t>
      </w:r>
      <w:r>
        <w:rPr>
          <w:sz w:val="20"/>
          <w:u w:val="single"/>
        </w:rPr>
        <w:t>provided</w:t>
      </w:r>
      <w:r>
        <w:rPr>
          <w:sz w:val="20"/>
        </w:rPr>
        <w:t>, that EBITDA shall be determined for the relevant Test Period on a Pro Forma Basis.</w:t>
      </w:r>
      <w:r>
        <w:rPr/>
        <w:t xml:space="preserve"> </w:t>
      </w:r>
    </w:p>
    <w:p>
      <w:pPr>
        <w:pStyle w:val="TextBody"/>
        <w:bidi w:val="0"/>
        <w:spacing w:before="0" w:after="0"/>
        <w:ind w:left="722" w:right="0" w:hanging="0"/>
        <w:jc w:val="both"/>
        <w:rPr/>
      </w:pPr>
      <w:r>
        <w:rPr/>
        <w:t xml:space="preserve">  </w:t>
      </w:r>
    </w:p>
    <w:p>
      <w:pPr>
        <w:pStyle w:val="TextBody"/>
        <w:bidi w:val="0"/>
        <w:spacing w:before="0" w:after="0"/>
        <w:ind w:left="722" w:right="0" w:hanging="0"/>
        <w:jc w:val="both"/>
        <w:rPr/>
      </w:pPr>
      <w:r>
        <w:rPr/>
        <w:t>“</w:t>
      </w:r>
      <w:r>
        <w:rPr>
          <w:sz w:val="20"/>
          <w:u w:val="single"/>
        </w:rPr>
        <w:t>Total Secured Net Leverage Ratio</w:t>
      </w:r>
      <w:r>
        <w:rPr/>
        <w:t xml:space="preserve">” </w:t>
      </w:r>
      <w:r>
        <w:rPr>
          <w:sz w:val="20"/>
        </w:rPr>
        <w:t xml:space="preserve">shall mean, on any date, the ratio of (a) Secured Net Debt as of such date to (b) EBITDA for the most recently ended Test Period; </w:t>
      </w:r>
      <w:r>
        <w:rPr>
          <w:sz w:val="20"/>
          <w:u w:val="single"/>
        </w:rPr>
        <w:t>provided</w:t>
      </w:r>
      <w:r>
        <w:rPr>
          <w:sz w:val="20"/>
        </w:rPr>
        <w:t>, that EBITDA shall be determined for the relevant Test Period on a Pro Forma Basis.</w:t>
      </w:r>
      <w:r>
        <w:rPr/>
        <w:t xml:space="preserve"> </w:t>
      </w:r>
    </w:p>
    <w:p>
      <w:pPr>
        <w:pStyle w:val="TextBody"/>
        <w:bidi w:val="0"/>
        <w:spacing w:before="0" w:after="0"/>
        <w:ind w:left="722" w:right="0" w:hanging="0"/>
        <w:jc w:val="both"/>
        <w:rPr/>
      </w:pPr>
      <w:r>
        <w:rPr/>
        <w:t xml:space="preserve">  </w:t>
      </w:r>
    </w:p>
    <w:p>
      <w:pPr>
        <w:pStyle w:val="TextBody"/>
        <w:bidi w:val="0"/>
        <w:spacing w:before="0" w:after="0"/>
        <w:ind w:left="722" w:right="0" w:hanging="0"/>
        <w:jc w:val="both"/>
        <w:rPr/>
      </w:pPr>
      <w:r>
        <w:rPr>
          <w:sz w:val="20"/>
          <w:u w:val="single"/>
        </w:rPr>
        <w:t>Effect of Amendment</w:t>
      </w:r>
      <w:r>
        <w:rPr>
          <w:sz w:val="20"/>
        </w:rPr>
        <w:t>.</w:t>
      </w:r>
      <w:r>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491615" cy="175260"/>
                <wp:effectExtent l="0" t="0" r="0" b="0"/>
                <wp:wrapSquare wrapText="right"/>
                <wp:docPr id="9" name="Frame8"/>
                <a:graphic xmlns:a="http://schemas.openxmlformats.org/drawingml/2006/main">
                  <a:graphicData uri="http://schemas.microsoft.com/office/word/2010/wordprocessingShape">
                    <wps:wsp>
                      <wps:cNvSpPr txBox="1"/>
                      <wps:spPr>
                        <a:xfrm>
                          <a:off x="0" y="0"/>
                          <a:ext cx="1491615" cy="175260"/>
                        </a:xfrm>
                        <a:prstGeom prst="rect"/>
                        <a:solidFill>
                          <a:srgbClr val="FFFFFF"/>
                        </a:solidFill>
                      </wps:spPr>
                      <wps:txbx>
                        <w:txbxContent>
                          <w:p>
                            <w:pPr>
                              <w:pStyle w:val="TextBody"/>
                              <w:bidi w:val="0"/>
                              <w:spacing w:before="0" w:after="283"/>
                              <w:jc w:val="left"/>
                              <w:rPr/>
                            </w:pPr>
                            <w:r>
                              <w:rPr>
                                <w:sz w:val="20"/>
                              </w:rPr>
                              <w:t>SECTION 2.</w:t>
                            </w:r>
                            <w:r>
                              <w:rPr/>
                              <w:t xml:space="preserve"> </w:t>
                            </w:r>
                          </w:p>
                        </w:txbxContent>
                      </wps:txbx>
                      <wps:bodyPr anchor="t" lIns="0" tIns="0" rIns="0" bIns="0">
                        <a:noAutofit/>
                      </wps:bodyPr>
                    </wps:wsp>
                  </a:graphicData>
                </a:graphic>
              </wp:anchor>
            </w:drawing>
          </mc:Choice>
          <mc:Fallback>
            <w:pict>
              <v:rect style="position:absolute;rotation:-0;width:1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SECTION 2.</w:t>
                      </w:r>
                      <w:r>
                        <w:rPr/>
                        <w:t xml:space="preserve"> </w:t>
                      </w:r>
                    </w:p>
                  </w:txbxContent>
                </v:textbox>
                <w10:wrap type="square" side="right"/>
              </v:rect>
            </w:pict>
          </mc:Fallback>
        </mc:AlternateContent>
      </w:r>
    </w:p>
    <w:p>
      <w:pPr>
        <w:pStyle w:val="TextBody"/>
        <w:bidi w:val="0"/>
        <w:spacing w:before="0" w:after="0"/>
        <w:ind w:left="722" w:right="0" w:hanging="0"/>
        <w:jc w:val="both"/>
        <w:rPr/>
      </w:pPr>
      <w:r>
        <w:rPr/>
        <w:t xml:space="preserve">  </w:t>
      </w:r>
    </w:p>
    <w:p>
      <w:pPr>
        <w:pStyle w:val="TextBody"/>
        <w:bidi w:val="0"/>
        <w:spacing w:before="0" w:after="0"/>
        <w:ind w:left="0" w:right="0" w:firstLine="722"/>
        <w:jc w:val="both"/>
        <w:rPr/>
      </w:pPr>
      <w:r>
        <w:rPr>
          <w:sz w:val="20"/>
        </w:rPr>
        <w:t xml:space="preserve">On and after the Amendment Effective Date, (i) each reference in the Loan Documents (other than the Amended Credit Agreement) to “the ABL Credit Agreement,” “the Revolving Credit Agreement,” “therein,” “thereunder,” “thereof” or words of like import referring to the Existing Credit Agreement, shall mean and be a reference to the Amended Credit Agreement and (ii) all references to any Section (or subsection) of the Existing Credit Agreement in any Loan Document (but not the Amended Credit Agreement) shall be amended to become, </w:t>
      </w:r>
      <w:r>
        <w:rPr>
          <w:i/>
          <w:sz w:val="20"/>
        </w:rPr>
        <w:t>mutatis mutandis</w:t>
      </w:r>
      <w:r>
        <w:rPr>
          <w:sz w:val="20"/>
        </w:rPr>
        <w:t>, references to the corresponding provisions of the Amended Credit Agreement.</w:t>
      </w:r>
      <w:r>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5295" cy="175260"/>
                <wp:effectExtent l="0" t="0" r="0" b="0"/>
                <wp:wrapSquare wrapText="right"/>
                <wp:docPr id="10" name="Frame9"/>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The Existing Credit Agreement and each of the other Loan Documents, as specifically amended by this Amendment, are and shall continue to be in full force and effect and are hereby in all respects ratified and confirmed.</w:t>
      </w:r>
      <w:r>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6565" cy="175260"/>
                <wp:effectExtent l="0" t="0" r="0" b="0"/>
                <wp:wrapSquare wrapText="right"/>
                <wp:docPr id="11" name="Frame10"/>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Each party hereto affirms, ratifies and confirms its prior obligations, Liens, guarantees, pledges, grants of security interest and other undertakings under the Existing Credit Agreement and the other Loan Documents to which it is a party and acknowledges and agrees that (1) the Existing Credit Agreement and each of the other Loan Documents, as specifically amended by this Amendment, are and shall continue to be in full force and effect and are hereby in all respects ratified and confirmed, (2) this Amendment and the other Loan Documents, whether executed and delivered in connection herewith or otherwise, do not constitute a novation or termination of the Obligations under the Existing Credit Agreement as in effect prior to the Amendment Effective Date and which remain outstanding, (3) the Obligations are in all respects continuing (as amended by the Amended Credit Agreement and which are hereafter subject to the terms of the Amended Credit Agreement) and (4) the security interests, liens, guarantees, pledges as granted under the applicable Loan Documents securing payment of such Obligations are in all respects continuing and in full force and effect and are reaffirmed hereby with no change in the priority applicable and such security interests are and continue to be, duly perfected security interests, subject only to (i) the terms thereof, and (ii) the Liens permitted under the Loan Documents. Without limiting the generality of the foregoing, the Security Documents and all of the Collateral described therein shall continue to secure the payment of all Obligations of the Loan Parties, as amended by this Amendment. This Amendment and the Amended Credit Agreement shall not constitute a novation of the Existing Credit Agreement or any of the other Loan Documents.</w:t>
      </w:r>
      <w:r>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5295" cy="175260"/>
                <wp:effectExtent l="0" t="0" r="0" b="0"/>
                <wp:wrapSquare wrapText="right"/>
                <wp:docPr id="12" name="Frame11"/>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The amendment of the Existing Credit Agreement pursuant to this Amendment is limited as written and is not a consent to any other amendment, restatement or waiver or other modification, whether or not similar and, except as expressly provided herein or in any other Loan Document, all terms and conditions of the Loan Documents remain in full force and effect unless otherwise specifically amended hereby or by any other Loan Document.</w:t>
      </w:r>
      <w:r>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6565" cy="175260"/>
                <wp:effectExtent l="0" t="0" r="0" b="0"/>
                <wp:wrapSquare wrapText="right"/>
                <wp:docPr id="13" name="Frame12"/>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extBody"/>
                              <w:bidi w:val="0"/>
                              <w:spacing w:before="0" w:after="283"/>
                              <w:jc w:val="left"/>
                              <w:rPr/>
                            </w:pPr>
                            <w:r>
                              <w:rPr>
                                <w:sz w:val="20"/>
                              </w:rPr>
                              <w:t>(d)</w:t>
                            </w:r>
                            <w:r>
                              <w:rPr/>
                              <w:t xml:space="preserve"> </w:t>
                            </w:r>
                          </w:p>
                        </w:txbxContent>
                      </wps:txbx>
                      <wps:bodyPr anchor="t" lIns="0" tIns="0" rIns="0" bIns="0">
                        <a:noAutofit/>
                      </wps:bodyPr>
                    </wps:wsp>
                  </a:graphicData>
                </a:graphic>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both"/>
        <w:rPr/>
      </w:pPr>
      <w:r>
        <w:rPr>
          <w:sz w:val="20"/>
        </w:rPr>
        <w:t>This Amendment shall be a Loan Document.</w:t>
      </w:r>
      <w:r>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4"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(e)</w:t>
                      </w:r>
                      <w:r>
                        <w:rPr/>
                        <w:t xml:space="preserve"> </w:t>
                      </w:r>
                    </w:p>
                  </w:txbxContent>
                </v:textbox>
                <w10:wrap type="square" side="right"/>
              </v:rect>
            </w:pict>
          </mc:Fallback>
        </mc:AlternateContent>
      </w:r>
    </w:p>
    <w:p>
      <w:pPr>
        <w:pStyle w:val="TextBody"/>
        <w:bidi w:val="0"/>
        <w:spacing w:before="0" w:after="0"/>
        <w:ind w:left="1442" w:right="0" w:hanging="0"/>
        <w:jc w:val="both"/>
        <w:rPr/>
      </w:pPr>
      <w:r>
        <w:rPr/>
        <w:t xml:space="preserve">  </w:t>
      </w:r>
    </w:p>
    <w:p>
      <w:pPr>
        <w:pStyle w:val="TextBody"/>
        <w:bidi w:val="0"/>
        <w:spacing w:before="0" w:after="0"/>
        <w:ind w:left="0" w:right="0" w:firstLine="722"/>
        <w:jc w:val="both"/>
        <w:rPr/>
      </w:pPr>
      <w:r>
        <w:rPr>
          <w:sz w:val="20"/>
        </w:rPr>
        <w:t>SECTION 3.  </w:t>
      </w:r>
      <w:r>
        <w:rPr>
          <w:sz w:val="20"/>
          <w:u w:val="single"/>
        </w:rPr>
        <w:t>Conditions of Effectiveness</w:t>
      </w:r>
      <w:r>
        <w:rPr>
          <w:sz w:val="20"/>
        </w:rPr>
        <w:t>. This Amendment shall become effective in the order and in the manner herein described, as of the first date upon which each of the conditions precedent set forth below in this Section 3 shall be satisfied or waived in accordance with Section 9.08 of the Existing Credit Agreement (such date, the “</w:t>
      </w:r>
      <w:r>
        <w:rPr>
          <w:sz w:val="20"/>
          <w:u w:val="single"/>
        </w:rPr>
        <w:t>Amendment Effective Date</w:t>
      </w:r>
      <w:r>
        <w:rPr/>
        <w:t>”</w:t>
      </w:r>
      <w:r>
        <w:rPr>
          <w:sz w:val="20"/>
        </w:rPr>
        <w:t>):</w:t>
      </w:r>
      <w:r>
        <w:rPr/>
        <w:t xml:space="preserve">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ind w:left="0" w:right="0" w:firstLine="722"/>
        <w:jc w:val="both"/>
        <w:rPr/>
      </w:pPr>
      <w:r>
        <w:rPr>
          <w:sz w:val="20"/>
        </w:rPr>
        <w:t>The Administrative Agent (or its counsel) shall have received from the Borrowers, the Required Lenders and the Administrative Agent either (i) a counterpart of this Amendment signed on behalf of such party or (ii) written evidence satisfactory to the Administrative Agent (which may include telecopy transmission of a signed signature page of this Amendment) that such party has signed a counterpart of this Amendment.</w:t>
      </w:r>
      <w:r>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5295" cy="175260"/>
                <wp:effectExtent l="0" t="0" r="0" b="0"/>
                <wp:wrapSquare wrapText="right"/>
                <wp:docPr id="15" name="Frame14"/>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 xml:space="preserve">The representations and warranties set forth in the Amended Credit Agreement and the other Loan Documents shall be true and correct in all material respects as of the Amendment Effective Date, with the same effect as though made on and as of such date; </w:t>
      </w:r>
      <w:r>
        <w:rPr>
          <w:i/>
          <w:sz w:val="20"/>
        </w:rPr>
        <w:t xml:space="preserve">provided </w:t>
      </w:r>
      <w:r>
        <w:rPr>
          <w:sz w:val="20"/>
        </w:rPr>
        <w:t xml:space="preserve">to the extent such representations and warranties expressly relate to an earlier date (in which case such representations and warranties shall be true and correct in all material respects as of such earlier date); </w:t>
      </w:r>
      <w:r>
        <w:rPr>
          <w:i/>
          <w:sz w:val="20"/>
        </w:rPr>
        <w:t>provided, further</w:t>
      </w:r>
      <w:r>
        <w:rPr>
          <w:sz w:val="20"/>
        </w:rPr>
        <w:t>, that any representation and warranty that is qualified as to “materiality,” “Material Adverse Effect” or similar language is true and correct (after giving effect to any qualification therein) in all respects on such respective dates.</w:t>
      </w:r>
      <w:r>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6565" cy="175260"/>
                <wp:effectExtent l="0" t="0" r="0" b="0"/>
                <wp:wrapSquare wrapText="right"/>
                <wp:docPr id="16" name="Frame15"/>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On and as of the Amendment Effective Date, at the time of and immediately after the Amendment Effective Date, no Event of Default or Default shall have occurred and be continuing or would result therefrom.</w:t>
      </w:r>
      <w:r>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5295" cy="175260"/>
                <wp:effectExtent l="0" t="0" r="0" b="0"/>
                <wp:wrapSquare wrapText="right"/>
                <wp:docPr id="17" name="Frame16"/>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left"/>
        <w:rPr/>
      </w:pPr>
      <w:r>
        <w:rPr>
          <w:sz w:val="20"/>
        </w:rPr>
        <w:t>With respect to the amendment set forth in Section 1(b) above, the Amendment Effective Date shall be deemed to be the Closing Date.</w:t>
      </w:r>
      <w:r>
        <w:rPr/>
        <w:t xml:space="preserve"> </w:t>
      </w:r>
    </w:p>
    <w:p>
      <w:pPr>
        <w:pStyle w:val="TextBody"/>
        <w:bidi w:val="0"/>
        <w:spacing w:before="0" w:after="0"/>
        <w:jc w:val="left"/>
        <w:rPr/>
      </w:pPr>
      <w:r>
        <w:rPr/>
        <w:t xml:space="preserve">  </w:t>
      </w:r>
    </w:p>
    <w:p>
      <w:pPr>
        <w:pStyle w:val="TextBody"/>
        <w:bidi w:val="0"/>
        <w:spacing w:before="0" w:after="0"/>
        <w:ind w:left="0" w:right="0" w:firstLine="722"/>
        <w:jc w:val="left"/>
        <w:rPr/>
      </w:pPr>
      <w:r>
        <w:rPr>
          <w:sz w:val="20"/>
          <w:u w:val="single"/>
        </w:rPr>
        <w:t>Representations and Warranties</w:t>
      </w:r>
      <w:r>
        <w:rPr>
          <w:sz w:val="20"/>
        </w:rPr>
        <w:t>. On the Amendment Effective Date, each of the Borrowers represents and warrants to each of the Lenders that:</w:t>
      </w:r>
      <w:r>
        <w:rPr/>
        <w:t xml:space="preserv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1033145" cy="175260"/>
                <wp:effectExtent l="0" t="0" r="0" b="0"/>
                <wp:wrapSquare wrapText="right"/>
                <wp:docPr id="18" name="Frame17"/>
                <a:graphic xmlns:a="http://schemas.openxmlformats.org/drawingml/2006/main">
                  <a:graphicData uri="http://schemas.microsoft.com/office/word/2010/wordprocessingShape">
                    <wps:wsp>
                      <wps:cNvSpPr txBox="1"/>
                      <wps:spPr>
                        <a:xfrm>
                          <a:off x="0" y="0"/>
                          <a:ext cx="1033145" cy="175260"/>
                        </a:xfrm>
                        <a:prstGeom prst="rect"/>
                        <a:solidFill>
                          <a:srgbClr val="FFFFFF"/>
                        </a:solidFill>
                      </wps:spPr>
                      <wps:txbx>
                        <w:txbxContent>
                          <w:p>
                            <w:pPr>
                              <w:pStyle w:val="TextBody"/>
                              <w:bidi w:val="0"/>
                              <w:spacing w:before="0" w:after="283"/>
                              <w:jc w:val="left"/>
                              <w:rPr/>
                            </w:pPr>
                            <w:r>
                              <w:rPr>
                                <w:sz w:val="20"/>
                              </w:rPr>
                              <w:t>SECTION 4.</w:t>
                            </w:r>
                            <w:r>
                              <w:rPr/>
                              <w:t xml:space="preserve"> </w:t>
                            </w:r>
                          </w:p>
                        </w:txbxContent>
                      </wps:txbx>
                      <wps:bodyPr anchor="t" lIns="0" tIns="0" rIns="0" bIns="0">
                        <a:noAutofit/>
                      </wps:bodyPr>
                    </wps:wsp>
                  </a:graphicData>
                </a:graphic>
              </wp:anchor>
            </w:drawing>
          </mc:Choice>
          <mc:Fallback>
            <w:pict>
              <v:rect style="position:absolute;rotation:-0;width:8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SECTION 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The execution, delivery and performance by each Borrower of this Amendment (a) have been duly authorized by all corporate, stockholder, partnership or limited liability company action required to be obtained by such Borrower and (b) will not (i) violate (A) any provision of law, statute, rule or regulation, or of the certificate or articles of incorporation or other constitutive documents (including any partnership, limited liability company or operating agreements) or by laws or articles of association of any such Borrower, (B) any applicable order of any court or any rule, regulation or order of any Governmental Authority or (C) any provision of any indenture, certificate of designation for preferred stock, agreement or other instrument to which any such Borrower is a party or by which any of them or any of their property is or may be bound, (ii) be in conflict with, result in a breach of or constitute (alone or with notice or lapse of time or both) a default under, give rise to a right of or result in any cancellation or acceleration of any right or obligation (including any payment) or to a loss of a material benefit under any such indenture, certificate of designation for preferred stock, agreement or other instrument, where any such conflict, violation, breach or default referred to in clause (i) or (ii) of this Section 4(a), would reasonably be expected to have, individually or in the aggregate, a Material Adverse Effect, or (iii) result in the creation or imposition of any Lien upon or with respect to any property or assets now owned or hereafter acquired by any such Borrower, other than the Liens created by the Loan Documents and Permitted Liens.</w:t>
      </w:r>
      <w:r>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5295" cy="175260"/>
                <wp:effectExtent l="0" t="0" r="0" b="0"/>
                <wp:wrapSquare wrapText="right"/>
                <wp:docPr id="19" name="Frame18"/>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This Amendment has been duly executed and delivered by each Borrower and constitutes a legal, valid and binding obligation of each such Borrower enforceable against each such Borrower in accordance with its terms, subject to (i) the effects of bankruptcy, insolvency, moratorium, restructuring, reorganization, fraudulent conveyance or other similar laws affecting creditors’ rights generally, (ii) general principles of equity (regardless of whether such enforceability is considered in a proceeding in equity or at law) and (iii) implied covenants of good faith and fair dealing.</w:t>
      </w:r>
      <w:r>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6565" cy="175260"/>
                <wp:effectExtent l="0" t="0" r="0" b="0"/>
                <wp:wrapSquare wrapText="right"/>
                <wp:docPr id="20" name="Frame19"/>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p>
      <w:pPr>
        <w:pStyle w:val="TextBody"/>
        <w:bidi w:val="0"/>
        <w:spacing w:before="0" w:after="0"/>
        <w:ind w:left="0" w:right="0" w:firstLine="722"/>
        <w:jc w:val="both"/>
        <w:rPr/>
      </w:pPr>
      <w:r>
        <w:rPr>
          <w:sz w:val="20"/>
          <w:u w:val="single"/>
        </w:rPr>
        <w:t>Execution in Counterparts</w:t>
      </w:r>
      <w:r>
        <w:rPr>
          <w:sz w:val="20"/>
        </w:rPr>
        <w:t xml:space="preserve">.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or other electronic means shall be effective as delivery of a manually executed counterpart of this Amendment. The words “execution,” “signed,” “signature,” and words of like import in or related to this Amendment or any other document to be signed in connection with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sz w:val="20"/>
          <w:u w:val="single"/>
        </w:rPr>
        <w:t>provided</w:t>
      </w:r>
      <w:r>
        <w:rPr/>
        <w:t> </w:t>
      </w:r>
      <w:r>
        <w:rPr>
          <w:sz w:val="20"/>
        </w:rPr>
        <w:t>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r>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033145" cy="175260"/>
                <wp:effectExtent l="0" t="0" r="0" b="0"/>
                <wp:wrapSquare wrapText="right"/>
                <wp:docPr id="21" name="Frame20"/>
                <a:graphic xmlns:a="http://schemas.openxmlformats.org/drawingml/2006/main">
                  <a:graphicData uri="http://schemas.microsoft.com/office/word/2010/wordprocessingShape">
                    <wps:wsp>
                      <wps:cNvSpPr txBox="1"/>
                      <wps:spPr>
                        <a:xfrm>
                          <a:off x="0" y="0"/>
                          <a:ext cx="1033145" cy="175260"/>
                        </a:xfrm>
                        <a:prstGeom prst="rect"/>
                        <a:solidFill>
                          <a:srgbClr val="FFFFFF"/>
                        </a:solidFill>
                      </wps:spPr>
                      <wps:txbx>
                        <w:txbxContent>
                          <w:p>
                            <w:pPr>
                              <w:pStyle w:val="TextBody"/>
                              <w:bidi w:val="0"/>
                              <w:spacing w:before="0" w:after="283"/>
                              <w:jc w:val="left"/>
                              <w:rPr/>
                            </w:pPr>
                            <w:r>
                              <w:rPr>
                                <w:sz w:val="20"/>
                              </w:rPr>
                              <w:t>SECTION 5.</w:t>
                            </w:r>
                            <w:r>
                              <w:rPr/>
                              <w:t xml:space="preserve"> </w:t>
                            </w:r>
                          </w:p>
                        </w:txbxContent>
                      </wps:txbx>
                      <wps:bodyPr anchor="t" lIns="0" tIns="0" rIns="0" bIns="0">
                        <a:noAutofit/>
                      </wps:bodyPr>
                    </wps:wsp>
                  </a:graphicData>
                </a:graphic>
              </wp:anchor>
            </w:drawing>
          </mc:Choice>
          <mc:Fallback>
            <w:pict>
              <v:rect style="position:absolute;rotation:-0;width:8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SECTION 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 xml:space="preserve">SECTION 6. </w:t>
      </w:r>
      <w:r>
        <w:rPr>
          <w:sz w:val="20"/>
          <w:u w:val="single"/>
        </w:rPr>
        <w:t>Governing Law</w:t>
      </w:r>
      <w:r>
        <w:rPr>
          <w:sz w:val="20"/>
        </w:rPr>
        <w:t>. This Amendment shall be governed by, and construed in accordance with, the laws of the state of New York.</w:t>
      </w:r>
      <w:r>
        <w:rPr/>
        <w:t xml:space="preserve"> </w: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SECTION 7.   </w:t>
      </w:r>
      <w:r>
        <w:rPr>
          <w:sz w:val="20"/>
          <w:u w:val="single"/>
        </w:rPr>
        <w:t>WAIVER OF JURY TRIAL</w:t>
      </w:r>
      <w:r>
        <w:rPr/>
        <w:t> </w:t>
      </w:r>
      <w:r>
        <w:rPr>
          <w:sz w:val="20"/>
        </w:rPr>
        <w:t>EACH PARTY HERETO HEREBY WAIVES, TO THE FULLEST EXTENT PERMITTED BY APPLICABLE LAW, ANY RIGHT IT MAY HAVE TO A TRIAL BY JURY IN RESPECT OF ANY LITIGATION DIRECTLY OR INDIRECTLY ARISING OUT OF, UNDER OR IN CONNECTION WITH THIS AMENDMENT OR ANY OF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AND THE OTHER LOAN DOCUMENTS, AS APPLICABLE, BY, AMONG OTHER THINGS, THE MUTUAL WAIVERS AND CERTIFICATIONS IN THIS SECTION 7.</w:t>
      </w:r>
      <w:r>
        <w:rPr/>
        <w:t xml:space="preserve"> </w:t>
      </w:r>
    </w:p>
    <w:p>
      <w:pPr>
        <w:pStyle w:val="TextBody"/>
        <w:bidi w:val="0"/>
        <w:spacing w:before="0" w:after="0"/>
        <w:jc w:val="both"/>
        <w:rPr/>
      </w:pPr>
      <w:r>
        <w:rPr/>
        <w:t xml:space="preserve">  </w:t>
      </w:r>
    </w:p>
    <w:p>
      <w:pPr>
        <w:pStyle w:val="TextBody"/>
        <w:bidi w:val="0"/>
        <w:spacing w:before="0" w:after="0"/>
        <w:ind w:left="722" w:right="0" w:hanging="0"/>
        <w:jc w:val="left"/>
        <w:rPr/>
      </w:pPr>
      <w:r>
        <w:rPr>
          <w:sz w:val="20"/>
          <w:u w:val="single"/>
        </w:rPr>
        <w:t>Jurisdiction; Consent to Service of Process</w:t>
      </w:r>
      <w:r>
        <w:rPr>
          <w:sz w:val="20"/>
        </w:rPr>
        <w:t>.</w:t>
      </w:r>
      <w:r>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1491615" cy="175260"/>
                <wp:effectExtent l="0" t="0" r="0" b="0"/>
                <wp:wrapSquare wrapText="right"/>
                <wp:docPr id="22" name="Frame21"/>
                <a:graphic xmlns:a="http://schemas.openxmlformats.org/drawingml/2006/main">
                  <a:graphicData uri="http://schemas.microsoft.com/office/word/2010/wordprocessingShape">
                    <wps:wsp>
                      <wps:cNvSpPr txBox="1"/>
                      <wps:spPr>
                        <a:xfrm>
                          <a:off x="0" y="0"/>
                          <a:ext cx="1491615" cy="175260"/>
                        </a:xfrm>
                        <a:prstGeom prst="rect"/>
                        <a:solidFill>
                          <a:srgbClr val="FFFFFF"/>
                        </a:solidFill>
                      </wps:spPr>
                      <wps:txbx>
                        <w:txbxContent>
                          <w:p>
                            <w:pPr>
                              <w:pStyle w:val="TextBody"/>
                              <w:bidi w:val="0"/>
                              <w:spacing w:before="0" w:after="283"/>
                              <w:jc w:val="left"/>
                              <w:rPr/>
                            </w:pPr>
                            <w:r>
                              <w:rPr>
                                <w:sz w:val="20"/>
                              </w:rPr>
                              <w:t>SECTION 8.</w:t>
                            </w:r>
                            <w:r>
                              <w:rPr/>
                              <w:t xml:space="preserve"> </w:t>
                            </w:r>
                          </w:p>
                        </w:txbxContent>
                      </wps:txbx>
                      <wps:bodyPr anchor="t" lIns="0" tIns="0" rIns="0" bIns="0">
                        <a:noAutofit/>
                      </wps:bodyPr>
                    </wps:wsp>
                  </a:graphicData>
                </a:graphic>
              </wp:anchor>
            </w:drawing>
          </mc:Choice>
          <mc:Fallback>
            <w:pict>
              <v:rect style="position:absolute;rotation:-0;width:1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SECTION 8.</w:t>
                      </w:r>
                      <w:r>
                        <w:rPr/>
                        <w:t xml:space="preserve"> </w:t>
                      </w:r>
                    </w:p>
                  </w:txbxContent>
                </v:textbox>
                <w10:wrap type="square" side="right"/>
              </v:rect>
            </w:pict>
          </mc:Fallback>
        </mc:AlternateContent>
      </w:r>
    </w:p>
    <w:p>
      <w:pPr>
        <w:pStyle w:val="TextBody"/>
        <w:bidi w:val="0"/>
        <w:spacing w:before="0" w:after="0"/>
        <w:ind w:left="722" w:right="0" w:hanging="0"/>
        <w:jc w:val="left"/>
        <w:rPr/>
      </w:pPr>
      <w:r>
        <w:rPr/>
        <w:t xml:space="preserve">  </w:t>
      </w:r>
    </w:p>
    <w:p>
      <w:pPr>
        <w:pStyle w:val="TextBody"/>
        <w:bidi w:val="0"/>
        <w:spacing w:before="0" w:after="0"/>
        <w:ind w:left="0" w:right="0" w:firstLine="722"/>
        <w:jc w:val="both"/>
        <w:rPr/>
      </w:pPr>
      <w:r>
        <w:rPr>
          <w:sz w:val="20"/>
        </w:rPr>
        <w:t>Each of the parties hereto hereby irrevocably and unconditionally submits, for itself and its property, to the exclusive jurisdiction of any New York State court or federal court of the United States of America sitting in New York City, and any appellate court from any thereof (collectively, “</w:t>
      </w:r>
      <w:r>
        <w:rPr>
          <w:sz w:val="20"/>
          <w:u w:val="single"/>
        </w:rPr>
        <w:t>New York</w:t>
      </w:r>
      <w:r>
        <w:rPr/>
        <w:t> </w:t>
      </w:r>
      <w:r>
        <w:rPr>
          <w:sz w:val="20"/>
          <w:u w:val="single"/>
        </w:rPr>
        <w:t>Courts</w:t>
      </w:r>
      <w:r>
        <w:rPr/>
        <w:t>”</w:t>
      </w:r>
      <w:r>
        <w:rPr>
          <w:sz w:val="20"/>
        </w:rPr>
        <w:t>), in any action or proceeding arising out of or relating to this Amendment or the other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Amendment shall affect any right that any party may otherwise have to bring any action or proceeding relating to this Amendment or any of the other Loan Documents in the courts of any jurisdiction, except that each of the Loan Parties agrees that (a) it will not bring any such action or proceeding in any court other than New York Courts (it being acknowledged and agreed by the parties hereto that any other forum would be inconvenient and inappropriate in view of the fact that more of the Lenders who would be affected by any such action or proceeding have contacts with the State of New York than any other jurisdiction), and (b) in any such action or proceeding brought against any Loan Party in any other court, it will not assert any cross-claim, counterclaim or setoff, or seek any other affirmative relief, except to the extent that the failure to assert the same will preclude such Loan Party from asserting or seeking the same in the New York Courts.</w:t>
      </w:r>
      <w:r>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5295" cy="175260"/>
                <wp:effectExtent l="0" t="0" r="0" b="0"/>
                <wp:wrapSquare wrapText="right"/>
                <wp:docPr id="23" name="Frame22"/>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ind w:left="0" w:right="0" w:firstLine="722"/>
        <w:jc w:val="both"/>
        <w:rPr/>
      </w:pPr>
      <w:r>
        <w:rPr>
          <w:sz w:val="20"/>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Amendment or the other Loan Documents in any New York State or federal court. Each of the parties hereto hereby irrevocably waives, to the fullest extent permitted by law, the defense of an inconvenient forum to the maintenance of such action or proceeding in any such court.</w:t>
      </w:r>
      <w:r>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6565" cy="175260"/>
                <wp:effectExtent l="0" t="0" r="0" b="0"/>
                <wp:wrapSquare wrapText="right"/>
                <wp:docPr id="24" name="Frame23"/>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2"/>
        <w:jc w:val="both"/>
        <w:rPr/>
      </w:pPr>
      <w:r>
        <w:rPr>
          <w:sz w:val="20"/>
        </w:rPr>
        <w:t xml:space="preserve">Section 9.15(c) (Service of Process) and Section 9.19 (Judgment Currency) of the Existing Credit Agreement are incorporated into this Amendment </w:t>
      </w:r>
      <w:r>
        <w:rPr>
          <w:i/>
          <w:sz w:val="20"/>
        </w:rPr>
        <w:t>mutatis mutandis</w:t>
      </w:r>
      <w:r>
        <w:rPr>
          <w:sz w:val="20"/>
        </w:rPr>
        <w:t>.</w:t>
      </w:r>
      <w:r>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5295" cy="175260"/>
                <wp:effectExtent l="0" t="0" r="0" b="0"/>
                <wp:wrapSquare wrapText="right"/>
                <wp:docPr id="25" name="Frame24"/>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349" w:hanging="0"/>
        <w:jc w:val="center"/>
        <w:rPr/>
      </w:pPr>
      <w:r>
        <w:rPr>
          <w:sz w:val="20"/>
        </w:rPr>
        <w:t>[</w:t>
      </w:r>
      <w:r>
        <w:rPr>
          <w:i/>
          <w:sz w:val="20"/>
        </w:rPr>
        <w:t>Remainder of Page Intentionally Left Blank</w:t>
      </w:r>
      <w:r>
        <w:rPr>
          <w:sz w:val="20"/>
        </w:rPr>
        <w:t>]</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sz w:val="20"/>
        </w:rPr>
        <w:t>IN WITNESS WHEREOF, the parties hereto have caused this Amendment to be duly executed by their respective authorized officers as of the day and year first written above.</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7064" w:type="dxa"/>
        <w:jc w:val="left"/>
        <w:tblInd w:w="0" w:type="dxa"/>
        <w:tblLayout w:type="fixed"/>
        <w:tblCellMar>
          <w:top w:w="28" w:type="dxa"/>
          <w:left w:w="28" w:type="dxa"/>
          <w:bottom w:w="28" w:type="dxa"/>
          <w:right w:w="28" w:type="dxa"/>
        </w:tblCellMar>
      </w:tblPr>
      <w:tblGrid>
        <w:gridCol w:w="221"/>
        <w:gridCol w:w="466"/>
        <w:gridCol w:w="691"/>
        <w:gridCol w:w="5686"/>
      </w:tblGrid>
      <w:tr>
        <w:trPr/>
        <w:tc>
          <w:tcPr>
            <w:tcW w:w="22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5686"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43"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MAGNERA CORPORATION</w:t>
            </w:r>
            <w:r>
              <w:rPr>
                <w:b w:val="false"/>
                <w:sz w:val="20"/>
              </w:rPr>
              <w:t>,</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43" w:type="dxa"/>
            <w:gridSpan w:val="3"/>
            <w:tcBorders/>
            <w:tcMar>
              <w:top w:w="0" w:type="dxa"/>
              <w:left w:w="0" w:type="dxa"/>
              <w:bottom w:w="0" w:type="dxa"/>
              <w:right w:w="0" w:type="dxa"/>
            </w:tcMar>
            <w:vAlign w:val="center"/>
          </w:tcPr>
          <w:p>
            <w:pPr>
              <w:pStyle w:val="TableContents"/>
              <w:bidi w:val="0"/>
              <w:spacing w:before="0" w:after="0"/>
              <w:jc w:val="left"/>
              <w:rPr/>
            </w:pPr>
            <w:r>
              <w:rPr>
                <w:sz w:val="20"/>
              </w:rPr>
              <w:t>as U.S. Borrower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sz w:val="20"/>
              </w:rPr>
              <w:t>By:</w:t>
            </w:r>
            <w:r>
              <w:rPr/>
              <w:t xml:space="preserve"> </w:t>
            </w:r>
          </w:p>
        </w:tc>
        <w:tc>
          <w:tcPr>
            <w:tcW w:w="637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Jill L. Urey</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Name:</w:t>
            </w:r>
            <w:r>
              <w:rPr/>
              <w:t xml:space="preserve"> </w:t>
            </w:r>
          </w:p>
        </w:tc>
        <w:tc>
          <w:tcPr>
            <w:tcW w:w="568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Jill L. Urey</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sz w:val="20"/>
              </w:rPr>
              <w:t>Title:</w:t>
            </w: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sz w:val="20"/>
              </w:rPr>
              <w:t>Executive Vice President, General Counsel and Corporate Secretary</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43"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GLATFELTER GATINEAU LTEE</w:t>
            </w:r>
            <w:r>
              <w:rPr>
                <w:b w:val="false"/>
                <w:sz w:val="20"/>
              </w:rPr>
              <w:t>,</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43" w:type="dxa"/>
            <w:gridSpan w:val="3"/>
            <w:tcBorders/>
            <w:tcMar>
              <w:top w:w="0" w:type="dxa"/>
              <w:left w:w="0" w:type="dxa"/>
              <w:bottom w:w="0" w:type="dxa"/>
              <w:right w:w="0" w:type="dxa"/>
            </w:tcMar>
            <w:vAlign w:val="center"/>
          </w:tcPr>
          <w:p>
            <w:pPr>
              <w:pStyle w:val="TableContents"/>
              <w:bidi w:val="0"/>
              <w:spacing w:before="0" w:after="0"/>
              <w:jc w:val="left"/>
              <w:rPr/>
            </w:pPr>
            <w:r>
              <w:rPr>
                <w:sz w:val="20"/>
              </w:rPr>
              <w:t>as Canadian Borrower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sz w:val="20"/>
              </w:rPr>
              <w:t>By:</w:t>
            </w:r>
            <w:r>
              <w:rPr/>
              <w:t xml:space="preserve"> </w:t>
            </w:r>
          </w:p>
        </w:tc>
        <w:tc>
          <w:tcPr>
            <w:tcW w:w="637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Jill L. Urey</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Name:</w:t>
            </w:r>
            <w:r>
              <w:rPr/>
              <w:t xml:space="preserve"> </w:t>
            </w:r>
          </w:p>
        </w:tc>
        <w:tc>
          <w:tcPr>
            <w:tcW w:w="568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Jill L. Urey</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sz w:val="20"/>
              </w:rPr>
              <w:t>Title:</w:t>
            </w: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sz w:val="20"/>
              </w:rPr>
              <w:t>Secretary</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43"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GLATFELTER LYDNEY, LTD.</w:t>
            </w:r>
            <w:r>
              <w:rPr>
                <w:b w:val="false"/>
                <w:sz w:val="20"/>
              </w:rPr>
              <w:t>,</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43" w:type="dxa"/>
            <w:gridSpan w:val="3"/>
            <w:tcBorders/>
            <w:tcMar>
              <w:top w:w="0" w:type="dxa"/>
              <w:left w:w="0" w:type="dxa"/>
              <w:bottom w:w="0" w:type="dxa"/>
              <w:right w:w="0" w:type="dxa"/>
            </w:tcMar>
            <w:vAlign w:val="center"/>
          </w:tcPr>
          <w:p>
            <w:pPr>
              <w:pStyle w:val="TableContents"/>
              <w:bidi w:val="0"/>
              <w:spacing w:before="0" w:after="0"/>
              <w:jc w:val="left"/>
              <w:rPr/>
            </w:pPr>
            <w:r>
              <w:rPr>
                <w:sz w:val="20"/>
              </w:rPr>
              <w:t>as a U.K. Borrower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sz w:val="20"/>
              </w:rPr>
              <w:t>By:</w:t>
            </w:r>
            <w:r>
              <w:rPr/>
              <w:t xml:space="preserve"> </w:t>
            </w:r>
          </w:p>
        </w:tc>
        <w:tc>
          <w:tcPr>
            <w:tcW w:w="637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Jill L. Urey</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Name:</w:t>
            </w:r>
            <w:r>
              <w:rPr/>
              <w:t xml:space="preserve"> </w:t>
            </w:r>
          </w:p>
        </w:tc>
        <w:tc>
          <w:tcPr>
            <w:tcW w:w="568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Jill L. Urey</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sz w:val="20"/>
              </w:rPr>
              <w:t>Title:</w:t>
            </w: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sz w:val="20"/>
              </w:rPr>
              <w:t>Director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43"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GLATFELTER CAERPHILLY, LIMITED</w:t>
            </w:r>
            <w:r>
              <w:rPr>
                <w:b w:val="false"/>
                <w:sz w:val="20"/>
              </w:rPr>
              <w:t>,</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43" w:type="dxa"/>
            <w:gridSpan w:val="3"/>
            <w:tcBorders/>
            <w:tcMar>
              <w:top w:w="0" w:type="dxa"/>
              <w:left w:w="0" w:type="dxa"/>
              <w:bottom w:w="0" w:type="dxa"/>
              <w:right w:w="0" w:type="dxa"/>
            </w:tcMar>
            <w:vAlign w:val="center"/>
          </w:tcPr>
          <w:p>
            <w:pPr>
              <w:pStyle w:val="TableContents"/>
              <w:bidi w:val="0"/>
              <w:spacing w:before="0" w:after="0"/>
              <w:jc w:val="left"/>
              <w:rPr/>
            </w:pPr>
            <w:r>
              <w:rPr>
                <w:sz w:val="20"/>
              </w:rPr>
              <w:t>as a U.K. Borrower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sz w:val="20"/>
              </w:rPr>
              <w:t>By:</w:t>
            </w:r>
            <w:r>
              <w:rPr/>
              <w:t xml:space="preserve"> </w:t>
            </w:r>
          </w:p>
        </w:tc>
        <w:tc>
          <w:tcPr>
            <w:tcW w:w="637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Jill L. Urey</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Name:</w:t>
            </w:r>
            <w:r>
              <w:rPr/>
              <w:t xml:space="preserve"> </w:t>
            </w:r>
          </w:p>
        </w:tc>
        <w:tc>
          <w:tcPr>
            <w:tcW w:w="568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Jill L. Urey</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sz w:val="20"/>
              </w:rPr>
              <w:t>Title:</w:t>
            </w: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sz w:val="20"/>
              </w:rPr>
              <w:t>Director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43"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FIBERWEB GEOSYNTHETICS LIMITED</w:t>
            </w:r>
            <w:r>
              <w:rPr>
                <w:b w:val="false"/>
                <w:sz w:val="20"/>
              </w:rPr>
              <w:t>,</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43" w:type="dxa"/>
            <w:gridSpan w:val="3"/>
            <w:tcBorders/>
            <w:tcMar>
              <w:top w:w="0" w:type="dxa"/>
              <w:left w:w="0" w:type="dxa"/>
              <w:bottom w:w="0" w:type="dxa"/>
              <w:right w:w="0" w:type="dxa"/>
            </w:tcMar>
            <w:vAlign w:val="center"/>
          </w:tcPr>
          <w:p>
            <w:pPr>
              <w:pStyle w:val="TableContents"/>
              <w:bidi w:val="0"/>
              <w:spacing w:before="0" w:after="0"/>
              <w:jc w:val="left"/>
              <w:rPr/>
            </w:pPr>
            <w:r>
              <w:rPr>
                <w:sz w:val="20"/>
              </w:rPr>
              <w:t>as a U.K. Borrower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sz w:val="20"/>
              </w:rPr>
              <w:t>By:</w:t>
            </w:r>
            <w:r>
              <w:rPr/>
              <w:t xml:space="preserve"> </w:t>
            </w:r>
          </w:p>
        </w:tc>
        <w:tc>
          <w:tcPr>
            <w:tcW w:w="637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Name:</w:t>
            </w:r>
            <w:r>
              <w:rPr/>
              <w:t xml:space="preserve"> </w:t>
            </w:r>
          </w:p>
        </w:tc>
        <w:tc>
          <w:tcPr>
            <w:tcW w:w="568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sz w:val="20"/>
              </w:rPr>
              <w:t>Title:</w:t>
            </w:r>
            <w:r>
              <w:rPr/>
              <w:t xml:space="preserve"> </w:t>
            </w:r>
          </w:p>
        </w:tc>
        <w:tc>
          <w:tcPr>
            <w:tcW w:w="5686" w:type="dxa"/>
            <w:tcBorders/>
            <w:tcMar>
              <w:top w:w="0" w:type="dxa"/>
              <w:left w:w="0" w:type="dxa"/>
              <w:bottom w:w="0" w:type="dxa"/>
              <w:right w:w="0" w:type="dxa"/>
            </w:tcMar>
            <w:vAlign w:val="center"/>
          </w:tcPr>
          <w:p>
            <w:pPr>
              <w:pStyle w:val="TableContents"/>
              <w:bidi w:val="0"/>
              <w:spacing w:before="0" w:after="0"/>
              <w:jc w:val="left"/>
              <w:rPr/>
            </w:pPr>
            <w:r>
              <w:rPr>
                <w:sz w:val="20"/>
              </w:rPr>
              <w:t>Director</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xml:space="preserve">  </w:t>
      </w:r>
    </w:p>
    <w:tbl>
      <w:tblPr>
        <w:tblW w:w="4046" w:type="dxa"/>
        <w:jc w:val="left"/>
        <w:tblInd w:w="0" w:type="dxa"/>
        <w:tblLayout w:type="fixed"/>
        <w:tblCellMar>
          <w:top w:w="28" w:type="dxa"/>
          <w:left w:w="28" w:type="dxa"/>
          <w:bottom w:w="28" w:type="dxa"/>
          <w:right w:w="28" w:type="dxa"/>
        </w:tblCellMar>
      </w:tblPr>
      <w:tblGrid>
        <w:gridCol w:w="221"/>
        <w:gridCol w:w="612"/>
        <w:gridCol w:w="907"/>
        <w:gridCol w:w="2306"/>
      </w:tblGrid>
      <w:tr>
        <w:trPr/>
        <w:tc>
          <w:tcPr>
            <w:tcW w:w="221"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25"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GLATFELTER GERNSBACH GMBH</w:t>
            </w:r>
            <w:r>
              <w:rPr>
                <w:b w:val="false"/>
                <w:sz w:val="20"/>
              </w:rPr>
              <w:t>,</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25" w:type="dxa"/>
            <w:gridSpan w:val="3"/>
            <w:tcBorders/>
            <w:tcMar>
              <w:top w:w="0" w:type="dxa"/>
              <w:left w:w="0" w:type="dxa"/>
              <w:bottom w:w="0" w:type="dxa"/>
              <w:right w:w="0" w:type="dxa"/>
            </w:tcMar>
            <w:vAlign w:val="center"/>
          </w:tcPr>
          <w:p>
            <w:pPr>
              <w:pStyle w:val="TableContents"/>
              <w:bidi w:val="0"/>
              <w:spacing w:before="0" w:after="0"/>
              <w:jc w:val="left"/>
              <w:rPr/>
            </w:pPr>
            <w:r>
              <w:rPr>
                <w:sz w:val="20"/>
              </w:rPr>
              <w:t>as German Lead Borrower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sz w:val="20"/>
              </w:rPr>
              <w:t>By:</w:t>
            </w:r>
            <w:r>
              <w:rPr/>
              <w:t xml:space="preserve"> </w:t>
            </w:r>
          </w:p>
        </w:tc>
        <w:tc>
          <w:tcPr>
            <w:tcW w:w="3213"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Name:</w:t>
            </w:r>
            <w:r>
              <w:rPr/>
              <w:t xml:space="preserve"> </w:t>
            </w:r>
          </w:p>
        </w:tc>
        <w:tc>
          <w:tcPr>
            <w:tcW w:w="230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sz w:val="20"/>
              </w:rPr>
              <w:t>Title:</w:t>
            </w: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sz w:val="20"/>
              </w:rPr>
              <w:t>Managing Director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25"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GLATFELTER FALKENHAGEN GMBH</w:t>
            </w:r>
            <w:r>
              <w:rPr>
                <w:b w:val="false"/>
                <w:sz w:val="20"/>
              </w:rPr>
              <w:t>,</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25" w:type="dxa"/>
            <w:gridSpan w:val="3"/>
            <w:tcBorders/>
            <w:tcMar>
              <w:top w:w="0" w:type="dxa"/>
              <w:left w:w="0" w:type="dxa"/>
              <w:bottom w:w="0" w:type="dxa"/>
              <w:right w:w="0" w:type="dxa"/>
            </w:tcMar>
            <w:vAlign w:val="center"/>
          </w:tcPr>
          <w:p>
            <w:pPr>
              <w:pStyle w:val="TableContents"/>
              <w:bidi w:val="0"/>
              <w:spacing w:before="0" w:after="0"/>
              <w:jc w:val="left"/>
              <w:rPr/>
            </w:pPr>
            <w:r>
              <w:rPr>
                <w:sz w:val="20"/>
              </w:rPr>
              <w:t>as a German Borrower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sz w:val="20"/>
              </w:rPr>
              <w:t>By:</w:t>
            </w:r>
            <w:r>
              <w:rPr/>
              <w:t xml:space="preserve"> </w:t>
            </w:r>
          </w:p>
        </w:tc>
        <w:tc>
          <w:tcPr>
            <w:tcW w:w="3213"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Name:</w:t>
            </w:r>
            <w:r>
              <w:rPr/>
              <w:t xml:space="preserve"> </w:t>
            </w:r>
          </w:p>
        </w:tc>
        <w:tc>
          <w:tcPr>
            <w:tcW w:w="230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sz w:val="20"/>
              </w:rPr>
              <w:t>Title:</w:t>
            </w: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sz w:val="20"/>
              </w:rPr>
              <w:t>Managing Director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25"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GLATFELTER DRESDEN GMBH</w:t>
            </w:r>
            <w:r>
              <w:rPr>
                <w:b w:val="false"/>
                <w:sz w:val="20"/>
              </w:rPr>
              <w:t>,</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25" w:type="dxa"/>
            <w:gridSpan w:val="3"/>
            <w:tcBorders/>
            <w:tcMar>
              <w:top w:w="0" w:type="dxa"/>
              <w:left w:w="0" w:type="dxa"/>
              <w:bottom w:w="0" w:type="dxa"/>
              <w:right w:w="0" w:type="dxa"/>
            </w:tcMar>
            <w:vAlign w:val="center"/>
          </w:tcPr>
          <w:p>
            <w:pPr>
              <w:pStyle w:val="TableContents"/>
              <w:bidi w:val="0"/>
              <w:spacing w:before="0" w:after="0"/>
              <w:jc w:val="left"/>
              <w:rPr/>
            </w:pPr>
            <w:r>
              <w:rPr>
                <w:sz w:val="20"/>
              </w:rPr>
              <w:t>as a German Borrower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sz w:val="20"/>
              </w:rPr>
              <w:t>By:</w:t>
            </w:r>
            <w:r>
              <w:rPr/>
              <w:t xml:space="preserve"> </w:t>
            </w:r>
          </w:p>
        </w:tc>
        <w:tc>
          <w:tcPr>
            <w:tcW w:w="3213"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Name:</w:t>
            </w:r>
            <w:r>
              <w:rPr/>
              <w:t xml:space="preserve"> </w:t>
            </w:r>
          </w:p>
        </w:tc>
        <w:tc>
          <w:tcPr>
            <w:tcW w:w="230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sz w:val="20"/>
              </w:rPr>
              <w:t>Title:</w:t>
            </w: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sz w:val="20"/>
              </w:rPr>
              <w:t>Managing Director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25"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GLATFELTER STEINFURT GMBH</w:t>
            </w:r>
            <w:r>
              <w:rPr>
                <w:b w:val="false"/>
                <w:sz w:val="20"/>
              </w:rPr>
              <w:t>,</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25" w:type="dxa"/>
            <w:gridSpan w:val="3"/>
            <w:tcBorders/>
            <w:tcMar>
              <w:top w:w="0" w:type="dxa"/>
              <w:left w:w="0" w:type="dxa"/>
              <w:bottom w:w="0" w:type="dxa"/>
              <w:right w:w="0" w:type="dxa"/>
            </w:tcMar>
            <w:vAlign w:val="center"/>
          </w:tcPr>
          <w:p>
            <w:pPr>
              <w:pStyle w:val="TableContents"/>
              <w:bidi w:val="0"/>
              <w:spacing w:before="0" w:after="0"/>
              <w:jc w:val="left"/>
              <w:rPr/>
            </w:pPr>
            <w:r>
              <w:rPr>
                <w:sz w:val="20"/>
              </w:rPr>
              <w:t>as a German Borrower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sz w:val="20"/>
              </w:rPr>
              <w:t>By:</w:t>
            </w:r>
            <w:r>
              <w:rPr/>
              <w:t xml:space="preserve"> </w:t>
            </w:r>
          </w:p>
        </w:tc>
        <w:tc>
          <w:tcPr>
            <w:tcW w:w="3213"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Name:</w:t>
            </w:r>
            <w:r>
              <w:rPr/>
              <w:t xml:space="preserve"> </w:t>
            </w:r>
          </w:p>
        </w:tc>
        <w:tc>
          <w:tcPr>
            <w:tcW w:w="230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sz w:val="20"/>
              </w:rPr>
              <w:t>Title:</w:t>
            </w: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sz w:val="20"/>
              </w:rPr>
              <w:t>Managing Director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25"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MAGNERA ASHERSLEBEN GMBH</w:t>
            </w:r>
            <w:r>
              <w:rPr>
                <w:b w:val="false"/>
                <w:sz w:val="20"/>
              </w:rPr>
              <w:t>,</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25" w:type="dxa"/>
            <w:gridSpan w:val="3"/>
            <w:tcBorders/>
            <w:tcMar>
              <w:top w:w="0" w:type="dxa"/>
              <w:left w:w="0" w:type="dxa"/>
              <w:bottom w:w="0" w:type="dxa"/>
              <w:right w:w="0" w:type="dxa"/>
            </w:tcMar>
            <w:vAlign w:val="center"/>
          </w:tcPr>
          <w:p>
            <w:pPr>
              <w:pStyle w:val="TableContents"/>
              <w:bidi w:val="0"/>
              <w:spacing w:before="0" w:after="0"/>
              <w:jc w:val="left"/>
              <w:rPr/>
            </w:pPr>
            <w:r>
              <w:rPr>
                <w:sz w:val="20"/>
              </w:rPr>
              <w:t>as a German Borrower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sz w:val="20"/>
              </w:rPr>
              <w:t>By:</w:t>
            </w:r>
            <w:r>
              <w:rPr/>
              <w:t xml:space="preserve"> </w:t>
            </w:r>
          </w:p>
        </w:tc>
        <w:tc>
          <w:tcPr>
            <w:tcW w:w="3213"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Name:</w:t>
            </w:r>
            <w:r>
              <w:rPr/>
              <w:t xml:space="preserve"> </w:t>
            </w:r>
          </w:p>
        </w:tc>
        <w:tc>
          <w:tcPr>
            <w:tcW w:w="230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Achim Schalk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07" w:type="dxa"/>
            <w:tcBorders/>
            <w:tcMar>
              <w:top w:w="0" w:type="dxa"/>
              <w:left w:w="0" w:type="dxa"/>
              <w:bottom w:w="0" w:type="dxa"/>
              <w:right w:w="0" w:type="dxa"/>
            </w:tcMar>
            <w:vAlign w:val="center"/>
          </w:tcPr>
          <w:p>
            <w:pPr>
              <w:pStyle w:val="TableContents"/>
              <w:bidi w:val="0"/>
              <w:spacing w:before="0" w:after="0"/>
              <w:jc w:val="left"/>
              <w:rPr/>
            </w:pPr>
            <w:r>
              <w:rPr>
                <w:sz w:val="20"/>
              </w:rPr>
              <w:t>Title:</w:t>
            </w:r>
            <w:r>
              <w:rPr/>
              <w:t xml:space="preserve"> </w:t>
            </w:r>
          </w:p>
        </w:tc>
        <w:tc>
          <w:tcPr>
            <w:tcW w:w="2306" w:type="dxa"/>
            <w:tcBorders/>
            <w:tcMar>
              <w:top w:w="0" w:type="dxa"/>
              <w:left w:w="0" w:type="dxa"/>
              <w:bottom w:w="0" w:type="dxa"/>
              <w:right w:w="0" w:type="dxa"/>
            </w:tcMar>
            <w:vAlign w:val="center"/>
          </w:tcPr>
          <w:p>
            <w:pPr>
              <w:pStyle w:val="TableContents"/>
              <w:bidi w:val="0"/>
              <w:spacing w:before="0" w:after="0"/>
              <w:jc w:val="left"/>
              <w:rPr/>
            </w:pPr>
            <w:r>
              <w:rPr>
                <w:sz w:val="20"/>
              </w:rPr>
              <w:t>Managing Director</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8</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tbl>
      <w:tblPr>
        <w:tblW w:w="4976" w:type="dxa"/>
        <w:jc w:val="left"/>
        <w:tblInd w:w="0" w:type="dxa"/>
        <w:tblLayout w:type="fixed"/>
        <w:tblCellMar>
          <w:top w:w="28" w:type="dxa"/>
          <w:left w:w="28" w:type="dxa"/>
          <w:bottom w:w="28" w:type="dxa"/>
          <w:right w:w="28" w:type="dxa"/>
        </w:tblCellMar>
      </w:tblPr>
      <w:tblGrid>
        <w:gridCol w:w="221"/>
        <w:gridCol w:w="747"/>
        <w:gridCol w:w="1121"/>
        <w:gridCol w:w="2887"/>
      </w:tblGrid>
      <w:tr>
        <w:trPr/>
        <w:tc>
          <w:tcPr>
            <w:tcW w:w="221"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2887"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755"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WELLS FARGO BANK, NATIONAL ASSOCIATION</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755" w:type="dxa"/>
            <w:gridSpan w:val="3"/>
            <w:tcBorders/>
            <w:tcMar>
              <w:top w:w="0" w:type="dxa"/>
              <w:left w:w="0" w:type="dxa"/>
              <w:bottom w:w="0" w:type="dxa"/>
              <w:right w:w="0" w:type="dxa"/>
            </w:tcMar>
            <w:vAlign w:val="center"/>
          </w:tcPr>
          <w:p>
            <w:pPr>
              <w:pStyle w:val="TableContents"/>
              <w:bidi w:val="0"/>
              <w:spacing w:before="0" w:after="0"/>
              <w:jc w:val="left"/>
              <w:rPr/>
            </w:pPr>
            <w:r>
              <w:rPr>
                <w:sz w:val="20"/>
              </w:rPr>
              <w:t>as Administrative Agent</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4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7"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47"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4008"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Olesya Mitkevych</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4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21"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2887"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Olesya Mitkevych</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4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21"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Title: </w:t>
            </w:r>
          </w:p>
        </w:tc>
        <w:tc>
          <w:tcPr>
            <w:tcW w:w="2887" w:type="dxa"/>
            <w:tcBorders/>
            <w:tcMar>
              <w:top w:w="0" w:type="dxa"/>
              <w:left w:w="0" w:type="dxa"/>
              <w:bottom w:w="0" w:type="dxa"/>
              <w:right w:w="0" w:type="dxa"/>
            </w:tcMar>
            <w:vAlign w:val="center"/>
          </w:tcPr>
          <w:p>
            <w:pPr>
              <w:pStyle w:val="TableContents"/>
              <w:bidi w:val="0"/>
              <w:spacing w:before="0" w:after="0"/>
              <w:jc w:val="left"/>
              <w:rPr/>
            </w:pPr>
            <w:r>
              <w:rPr>
                <w:sz w:val="20"/>
              </w:rPr>
              <w:t>Executive Director</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tbl>
      <w:tblPr>
        <w:tblW w:w="5020" w:type="dxa"/>
        <w:jc w:val="left"/>
        <w:tblInd w:w="0" w:type="dxa"/>
        <w:tblLayout w:type="fixed"/>
        <w:tblCellMar>
          <w:top w:w="28" w:type="dxa"/>
          <w:left w:w="28" w:type="dxa"/>
          <w:bottom w:w="28" w:type="dxa"/>
          <w:right w:w="28" w:type="dxa"/>
        </w:tblCellMar>
      </w:tblPr>
      <w:tblGrid>
        <w:gridCol w:w="221"/>
        <w:gridCol w:w="754"/>
        <w:gridCol w:w="1131"/>
        <w:gridCol w:w="2914"/>
      </w:tblGrid>
      <w:tr>
        <w:trPr/>
        <w:tc>
          <w:tcPr>
            <w:tcW w:w="221"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2914"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799"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t>WELLS FARGO BANK, NATIONAL ASSOCIATION,</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799" w:type="dxa"/>
            <w:gridSpan w:val="3"/>
            <w:tcBorders/>
            <w:tcMar>
              <w:top w:w="0" w:type="dxa"/>
              <w:left w:w="0" w:type="dxa"/>
              <w:bottom w:w="0" w:type="dxa"/>
              <w:right w:w="0" w:type="dxa"/>
            </w:tcMar>
            <w:vAlign w:val="center"/>
          </w:tcPr>
          <w:p>
            <w:pPr>
              <w:pStyle w:val="TableContents"/>
              <w:bidi w:val="0"/>
              <w:spacing w:before="0" w:after="0"/>
              <w:jc w:val="left"/>
              <w:rPr/>
            </w:pPr>
            <w:r>
              <w:rPr>
                <w:sz w:val="20"/>
              </w:rPr>
              <w:t>as Consenting Lender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5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3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914"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54"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4045"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Olesya Mitkevych</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5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31"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2914"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Olesya Mitkevych</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5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31"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Title: </w:t>
            </w:r>
          </w:p>
        </w:tc>
        <w:tc>
          <w:tcPr>
            <w:tcW w:w="2914" w:type="dxa"/>
            <w:tcBorders/>
            <w:tcMar>
              <w:top w:w="0" w:type="dxa"/>
              <w:left w:w="0" w:type="dxa"/>
              <w:bottom w:w="0" w:type="dxa"/>
              <w:right w:w="0" w:type="dxa"/>
            </w:tcMar>
            <w:vAlign w:val="center"/>
          </w:tcPr>
          <w:p>
            <w:pPr>
              <w:pStyle w:val="TableContents"/>
              <w:bidi w:val="0"/>
              <w:spacing w:before="0" w:after="0"/>
              <w:jc w:val="left"/>
              <w:rPr/>
            </w:pPr>
            <w:r>
              <w:rPr>
                <w:sz w:val="20"/>
              </w:rPr>
              <w:t>Executive Director</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10</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4765" w:type="dxa"/>
        <w:jc w:val="left"/>
        <w:tblInd w:w="0" w:type="dxa"/>
        <w:tblLayout w:type="fixed"/>
        <w:tblCellMar>
          <w:top w:w="28" w:type="dxa"/>
          <w:left w:w="28" w:type="dxa"/>
          <w:bottom w:w="28" w:type="dxa"/>
          <w:right w:w="28" w:type="dxa"/>
        </w:tblCellMar>
      </w:tblPr>
      <w:tblGrid>
        <w:gridCol w:w="221"/>
        <w:gridCol w:w="662"/>
        <w:gridCol w:w="993"/>
        <w:gridCol w:w="2889"/>
      </w:tblGrid>
      <w:tr>
        <w:trPr/>
        <w:tc>
          <w:tcPr>
            <w:tcW w:w="221"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t xml:space="preserve">  </w:t>
            </w:r>
          </w:p>
        </w:tc>
        <w:tc>
          <w:tcPr>
            <w:tcW w:w="454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b/>
                <w:sz w:val="20"/>
              </w:rPr>
              <w:t>WELLS FARGO BANK, N.A., LONDON BRANCH,</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44" w:type="dxa"/>
            <w:gridSpan w:val="3"/>
            <w:tcBorders/>
            <w:tcMar>
              <w:top w:w="0" w:type="dxa"/>
              <w:left w:w="0" w:type="dxa"/>
              <w:bottom w:w="0" w:type="dxa"/>
              <w:right w:w="0" w:type="dxa"/>
            </w:tcMar>
            <w:vAlign w:val="center"/>
          </w:tcPr>
          <w:p>
            <w:pPr>
              <w:pStyle w:val="TableContents"/>
              <w:bidi w:val="0"/>
              <w:spacing w:before="0" w:after="0"/>
              <w:jc w:val="left"/>
              <w:rPr/>
            </w:pPr>
            <w:r>
              <w:rPr>
                <w:sz w:val="20"/>
              </w:rPr>
              <w:t>as Consenting Lender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6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93"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9"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62"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388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Alison Powell</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6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93"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2889"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Alison Powell</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6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93"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Title: </w:t>
            </w:r>
          </w:p>
        </w:tc>
        <w:tc>
          <w:tcPr>
            <w:tcW w:w="2889" w:type="dxa"/>
            <w:tcBorders/>
            <w:tcMar>
              <w:top w:w="0" w:type="dxa"/>
              <w:left w:w="0" w:type="dxa"/>
              <w:bottom w:w="0" w:type="dxa"/>
              <w:right w:w="0" w:type="dxa"/>
            </w:tcMar>
            <w:vAlign w:val="center"/>
          </w:tcPr>
          <w:p>
            <w:pPr>
              <w:pStyle w:val="TableContents"/>
              <w:bidi w:val="0"/>
              <w:spacing w:before="0" w:after="0"/>
              <w:jc w:val="left"/>
              <w:rPr/>
            </w:pPr>
            <w:r>
              <w:rPr>
                <w:sz w:val="20"/>
              </w:rPr>
              <w:t>Authorized Signatory</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4615" w:type="dxa"/>
        <w:jc w:val="left"/>
        <w:tblInd w:w="0" w:type="dxa"/>
        <w:tblLayout w:type="fixed"/>
        <w:tblCellMar>
          <w:top w:w="28" w:type="dxa"/>
          <w:left w:w="28" w:type="dxa"/>
          <w:bottom w:w="28" w:type="dxa"/>
          <w:right w:w="28" w:type="dxa"/>
        </w:tblCellMar>
      </w:tblPr>
      <w:tblGrid>
        <w:gridCol w:w="221"/>
        <w:gridCol w:w="643"/>
        <w:gridCol w:w="965"/>
        <w:gridCol w:w="2786"/>
      </w:tblGrid>
      <w:tr>
        <w:trPr/>
        <w:tc>
          <w:tcPr>
            <w:tcW w:w="221"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786"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t> </w:t>
            </w:r>
          </w:p>
        </w:tc>
        <w:tc>
          <w:tcPr>
            <w:tcW w:w="439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b/>
                <w:sz w:val="20"/>
              </w:rPr>
              <w:t>WELLS FARGO BANK CAPITAL FINANCE</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394" w:type="dxa"/>
            <w:gridSpan w:val="3"/>
            <w:tcBorders/>
            <w:tcMar>
              <w:top w:w="0" w:type="dxa"/>
              <w:left w:w="0" w:type="dxa"/>
              <w:bottom w:w="0" w:type="dxa"/>
              <w:right w:w="0" w:type="dxa"/>
            </w:tcMar>
            <w:vAlign w:val="center"/>
          </w:tcPr>
          <w:p>
            <w:pPr>
              <w:pStyle w:val="TableContents"/>
              <w:bidi w:val="0"/>
              <w:spacing w:before="0" w:after="0"/>
              <w:jc w:val="left"/>
              <w:rPr/>
            </w:pPr>
            <w:r>
              <w:rPr>
                <w:b/>
                <w:sz w:val="20"/>
              </w:rPr>
              <w:t>CORPORATION CANADA,</w:t>
            </w:r>
            <w:r>
              <w:rPr/>
              <w:t xml:space="preserve"> </w:t>
            </w:r>
            <w:r>
              <w:rPr>
                <w:sz w:val="20"/>
              </w:rPr>
              <w:t>as Consenting Lender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43"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65"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7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43"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3751"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Carmela Massari</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43"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65"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278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Carmela Massari</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43"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65"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Title: </w:t>
            </w:r>
          </w:p>
        </w:tc>
        <w:tc>
          <w:tcPr>
            <w:tcW w:w="2786" w:type="dxa"/>
            <w:tcBorders/>
            <w:tcMar>
              <w:top w:w="0" w:type="dxa"/>
              <w:left w:w="0" w:type="dxa"/>
              <w:bottom w:w="0" w:type="dxa"/>
              <w:right w:w="0" w:type="dxa"/>
            </w:tcMar>
            <w:vAlign w:val="center"/>
          </w:tcPr>
          <w:p>
            <w:pPr>
              <w:pStyle w:val="TableContents"/>
              <w:bidi w:val="0"/>
              <w:spacing w:before="0" w:after="0"/>
              <w:jc w:val="left"/>
              <w:rPr/>
            </w:pPr>
            <w:r>
              <w:rPr>
                <w:sz w:val="20"/>
              </w:rPr>
              <w:t>Senior Vice President</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3629" w:type="dxa"/>
        <w:jc w:val="left"/>
        <w:tblInd w:w="0" w:type="dxa"/>
        <w:tblLayout w:type="fixed"/>
        <w:tblCellMar>
          <w:top w:w="28" w:type="dxa"/>
          <w:left w:w="28" w:type="dxa"/>
          <w:bottom w:w="28" w:type="dxa"/>
          <w:right w:w="28" w:type="dxa"/>
        </w:tblCellMar>
      </w:tblPr>
      <w:tblGrid>
        <w:gridCol w:w="221"/>
        <w:gridCol w:w="451"/>
        <w:gridCol w:w="676"/>
        <w:gridCol w:w="2281"/>
      </w:tblGrid>
      <w:tr>
        <w:trPr/>
        <w:tc>
          <w:tcPr>
            <w:tcW w:w="22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t xml:space="preserve">  </w:t>
            </w:r>
          </w:p>
        </w:tc>
        <w:tc>
          <w:tcPr>
            <w:tcW w:w="340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b/>
              </w:rPr>
            </w:pPr>
            <w:r>
              <w:rPr>
                <w:b/>
                <w:sz w:val="20"/>
              </w:rPr>
              <w:t>Citibank, N.A.,</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408" w:type="dxa"/>
            <w:gridSpan w:val="3"/>
            <w:tcBorders/>
            <w:tcMar>
              <w:top w:w="0" w:type="dxa"/>
              <w:left w:w="0" w:type="dxa"/>
              <w:bottom w:w="0" w:type="dxa"/>
              <w:right w:w="0" w:type="dxa"/>
            </w:tcMar>
            <w:vAlign w:val="center"/>
          </w:tcPr>
          <w:p>
            <w:pPr>
              <w:pStyle w:val="TableContents"/>
              <w:bidi w:val="0"/>
              <w:spacing w:before="0" w:after="0"/>
              <w:jc w:val="left"/>
              <w:rPr/>
            </w:pPr>
            <w:r>
              <w:rPr>
                <w:sz w:val="20"/>
              </w:rPr>
              <w:t>as Consenting Lender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28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295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Allister Chan</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2281"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Allister Chan</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Title: </w:t>
            </w:r>
          </w:p>
        </w:tc>
        <w:tc>
          <w:tcPr>
            <w:tcW w:w="2281" w:type="dxa"/>
            <w:tcBorders/>
            <w:tcMar>
              <w:top w:w="0" w:type="dxa"/>
              <w:left w:w="0" w:type="dxa"/>
              <w:bottom w:w="0" w:type="dxa"/>
              <w:right w:w="0" w:type="dxa"/>
            </w:tcMar>
            <w:vAlign w:val="center"/>
          </w:tcPr>
          <w:p>
            <w:pPr>
              <w:pStyle w:val="TableContents"/>
              <w:bidi w:val="0"/>
              <w:spacing w:before="0" w:after="0"/>
              <w:jc w:val="left"/>
              <w:rPr/>
            </w:pPr>
            <w:r>
              <w:rPr>
                <w:sz w:val="20"/>
              </w:rPr>
              <w:t>Vice President &amp; Director</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3509" w:type="dxa"/>
        <w:jc w:val="left"/>
        <w:tblInd w:w="0" w:type="dxa"/>
        <w:tblLayout w:type="fixed"/>
        <w:tblCellMar>
          <w:top w:w="28" w:type="dxa"/>
          <w:left w:w="28" w:type="dxa"/>
          <w:bottom w:w="28" w:type="dxa"/>
          <w:right w:w="28" w:type="dxa"/>
        </w:tblCellMar>
      </w:tblPr>
      <w:tblGrid>
        <w:gridCol w:w="221"/>
        <w:gridCol w:w="451"/>
        <w:gridCol w:w="676"/>
        <w:gridCol w:w="2161"/>
      </w:tblGrid>
      <w:tr>
        <w:trPr/>
        <w:tc>
          <w:tcPr>
            <w:tcW w:w="22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2161"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t> </w:t>
            </w:r>
          </w:p>
        </w:tc>
        <w:tc>
          <w:tcPr>
            <w:tcW w:w="328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b/>
              </w:rPr>
            </w:pPr>
            <w:r>
              <w:rPr>
                <w:b/>
                <w:sz w:val="20"/>
              </w:rPr>
              <w:t>BARCLAYS BANK PLC,</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288" w:type="dxa"/>
            <w:gridSpan w:val="3"/>
            <w:tcBorders/>
            <w:tcMar>
              <w:top w:w="0" w:type="dxa"/>
              <w:left w:w="0" w:type="dxa"/>
              <w:bottom w:w="0" w:type="dxa"/>
              <w:right w:w="0" w:type="dxa"/>
            </w:tcMar>
            <w:vAlign w:val="center"/>
          </w:tcPr>
          <w:p>
            <w:pPr>
              <w:pStyle w:val="TableContents"/>
              <w:bidi w:val="0"/>
              <w:spacing w:before="0" w:after="0"/>
              <w:jc w:val="left"/>
              <w:rPr/>
            </w:pPr>
            <w:r>
              <w:rPr>
                <w:sz w:val="20"/>
              </w:rPr>
              <w:t>as Consenting Lender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16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283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Joseph Tauro</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2161"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Joseph Tauro</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Title: </w:t>
            </w:r>
          </w:p>
        </w:tc>
        <w:tc>
          <w:tcPr>
            <w:tcW w:w="2161" w:type="dxa"/>
            <w:tcBorders/>
            <w:tcMar>
              <w:top w:w="0" w:type="dxa"/>
              <w:left w:w="0" w:type="dxa"/>
              <w:bottom w:w="0" w:type="dxa"/>
              <w:right w:w="0" w:type="dxa"/>
            </w:tcMar>
            <w:vAlign w:val="center"/>
          </w:tcPr>
          <w:p>
            <w:pPr>
              <w:pStyle w:val="TableContents"/>
              <w:bidi w:val="0"/>
              <w:spacing w:before="0" w:after="0"/>
              <w:jc w:val="left"/>
              <w:rPr/>
            </w:pPr>
            <w:r>
              <w:rPr>
                <w:sz w:val="20"/>
              </w:rPr>
              <w:t>Assistant Vice President</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69" w:type="dxa"/>
        <w:jc w:val="left"/>
        <w:tblInd w:w="0" w:type="dxa"/>
        <w:tblLayout w:type="fixed"/>
        <w:tblCellMar>
          <w:top w:w="28" w:type="dxa"/>
          <w:left w:w="28" w:type="dxa"/>
          <w:bottom w:w="28" w:type="dxa"/>
          <w:right w:w="28" w:type="dxa"/>
        </w:tblCellMar>
      </w:tblPr>
      <w:tblGrid>
        <w:gridCol w:w="221"/>
        <w:gridCol w:w="451"/>
        <w:gridCol w:w="676"/>
        <w:gridCol w:w="3721"/>
      </w:tblGrid>
      <w:tr>
        <w:trPr/>
        <w:tc>
          <w:tcPr>
            <w:tcW w:w="22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t xml:space="preserve">  </w:t>
            </w:r>
          </w:p>
        </w:tc>
        <w:tc>
          <w:tcPr>
            <w:tcW w:w="484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b/>
              </w:rPr>
            </w:pPr>
            <w:r>
              <w:rPr>
                <w:b/>
                <w:sz w:val="20"/>
              </w:rPr>
              <w:t>HSBC Bank USA, N.A.,</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848" w:type="dxa"/>
            <w:gridSpan w:val="3"/>
            <w:tcBorders/>
            <w:tcMar>
              <w:top w:w="0" w:type="dxa"/>
              <w:left w:w="0" w:type="dxa"/>
              <w:bottom w:w="0" w:type="dxa"/>
              <w:right w:w="0" w:type="dxa"/>
            </w:tcMar>
            <w:vAlign w:val="center"/>
          </w:tcPr>
          <w:p>
            <w:pPr>
              <w:pStyle w:val="TableContents"/>
              <w:bidi w:val="0"/>
              <w:spacing w:before="0" w:after="0"/>
              <w:jc w:val="left"/>
              <w:rPr/>
            </w:pPr>
            <w:r>
              <w:rPr>
                <w:sz w:val="20"/>
              </w:rPr>
              <w:t>as Consenting Lender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72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439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Frank M. Eassa</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3721"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Frank M. Eassa</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Title: </w:t>
            </w:r>
          </w:p>
        </w:tc>
        <w:tc>
          <w:tcPr>
            <w:tcW w:w="3721" w:type="dxa"/>
            <w:tcBorders/>
            <w:tcMar>
              <w:top w:w="0" w:type="dxa"/>
              <w:left w:w="0" w:type="dxa"/>
              <w:bottom w:w="0" w:type="dxa"/>
              <w:right w:w="0" w:type="dxa"/>
            </w:tcMar>
            <w:vAlign w:val="center"/>
          </w:tcPr>
          <w:p>
            <w:pPr>
              <w:pStyle w:val="TableContents"/>
              <w:bidi w:val="0"/>
              <w:spacing w:before="0" w:after="0"/>
              <w:jc w:val="left"/>
              <w:rPr/>
            </w:pPr>
            <w:r>
              <w:rPr>
                <w:sz w:val="20"/>
              </w:rPr>
              <w:t>Market Lead, Carolinas Corporate Banking</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3314" w:type="dxa"/>
        <w:jc w:val="left"/>
        <w:tblInd w:w="0" w:type="dxa"/>
        <w:tblLayout w:type="fixed"/>
        <w:tblCellMar>
          <w:top w:w="28" w:type="dxa"/>
          <w:left w:w="28" w:type="dxa"/>
          <w:bottom w:w="28" w:type="dxa"/>
          <w:right w:w="28" w:type="dxa"/>
        </w:tblCellMar>
      </w:tblPr>
      <w:tblGrid>
        <w:gridCol w:w="221"/>
        <w:gridCol w:w="451"/>
        <w:gridCol w:w="676"/>
        <w:gridCol w:w="1966"/>
      </w:tblGrid>
      <w:tr>
        <w:trPr/>
        <w:tc>
          <w:tcPr>
            <w:tcW w:w="22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1966"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t xml:space="preserve">  </w:t>
            </w:r>
          </w:p>
        </w:tc>
        <w:tc>
          <w:tcPr>
            <w:tcW w:w="309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b/>
              </w:rPr>
            </w:pPr>
            <w:r>
              <w:rPr>
                <w:b/>
                <w:sz w:val="20"/>
              </w:rPr>
              <w:t>Goldman Sachs Bank USA,</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093" w:type="dxa"/>
            <w:gridSpan w:val="3"/>
            <w:tcBorders/>
            <w:tcMar>
              <w:top w:w="0" w:type="dxa"/>
              <w:left w:w="0" w:type="dxa"/>
              <w:bottom w:w="0" w:type="dxa"/>
              <w:right w:w="0" w:type="dxa"/>
            </w:tcMar>
            <w:vAlign w:val="center"/>
          </w:tcPr>
          <w:p>
            <w:pPr>
              <w:pStyle w:val="TableContents"/>
              <w:bidi w:val="0"/>
              <w:spacing w:before="0" w:after="0"/>
              <w:jc w:val="left"/>
              <w:rPr/>
            </w:pPr>
            <w:r>
              <w:rPr>
                <w:sz w:val="20"/>
              </w:rPr>
              <w:t>as Consenting Lender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96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264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Priyankush Goswami</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196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Priyankush Goswami</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Title: </w:t>
            </w:r>
          </w:p>
        </w:tc>
        <w:tc>
          <w:tcPr>
            <w:tcW w:w="1966" w:type="dxa"/>
            <w:tcBorders/>
            <w:tcMar>
              <w:top w:w="0" w:type="dxa"/>
              <w:left w:w="0" w:type="dxa"/>
              <w:bottom w:w="0" w:type="dxa"/>
              <w:right w:w="0" w:type="dxa"/>
            </w:tcMar>
            <w:vAlign w:val="center"/>
          </w:tcPr>
          <w:p>
            <w:pPr>
              <w:pStyle w:val="TableContents"/>
              <w:bidi w:val="0"/>
              <w:spacing w:before="0" w:after="0"/>
              <w:jc w:val="left"/>
              <w:rPr/>
            </w:pPr>
            <w:r>
              <w:rPr>
                <w:sz w:val="20"/>
              </w:rPr>
              <w:t>Authorized Signatory</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16</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3970" w:type="dxa"/>
        <w:jc w:val="left"/>
        <w:tblInd w:w="0" w:type="dxa"/>
        <w:tblLayout w:type="fixed"/>
        <w:tblCellMar>
          <w:top w:w="28" w:type="dxa"/>
          <w:left w:w="28" w:type="dxa"/>
          <w:bottom w:w="28" w:type="dxa"/>
          <w:right w:w="28" w:type="dxa"/>
        </w:tblCellMar>
      </w:tblPr>
      <w:tblGrid>
        <w:gridCol w:w="221"/>
        <w:gridCol w:w="549"/>
        <w:gridCol w:w="823"/>
        <w:gridCol w:w="2377"/>
      </w:tblGrid>
      <w:tr>
        <w:trPr/>
        <w:tc>
          <w:tcPr>
            <w:tcW w:w="221"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 </w:t>
            </w:r>
          </w:p>
        </w:tc>
        <w:tc>
          <w:tcPr>
            <w:tcW w:w="2377"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t xml:space="preserve">  </w:t>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b/>
                <w:color w:val="232323"/>
                <w:sz w:val="20"/>
              </w:rPr>
              <w:t>PNC BANK, NATIONAL ASSOCIATION,</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sz w:val="20"/>
              </w:rPr>
              <w:t>as Consenting Lender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49"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23"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377"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49"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3200"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 xml:space="preserve">/s/ </w:t>
            </w:r>
            <w:r>
              <w:rPr>
                <w:color w:val="232323"/>
                <w:sz w:val="20"/>
              </w:rPr>
              <w:t xml:space="preserve">Daniel </w:t>
            </w:r>
            <w:r>
              <w:rPr>
                <w:color w:val="383838"/>
                <w:sz w:val="20"/>
              </w:rPr>
              <w:t xml:space="preserve">V. </w:t>
            </w:r>
            <w:r>
              <w:rPr>
                <w:color w:val="232323"/>
                <w:sz w:val="20"/>
              </w:rPr>
              <w:t>Borelli</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49"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23"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2377" w:type="dxa"/>
            <w:tcBorders>
              <w:top w:val="single" w:sz="8" w:space="0" w:color="000000"/>
            </w:tcBorders>
            <w:tcMar>
              <w:left w:w="0" w:type="dxa"/>
              <w:bottom w:w="0" w:type="dxa"/>
              <w:right w:w="0" w:type="dxa"/>
            </w:tcMar>
            <w:vAlign w:val="center"/>
          </w:tcPr>
          <w:p>
            <w:pPr>
              <w:pStyle w:val="TableContents"/>
              <w:bidi w:val="0"/>
              <w:spacing w:before="0" w:after="0"/>
              <w:jc w:val="left"/>
              <w:rPr/>
            </w:pPr>
            <w:r>
              <w:rPr>
                <w:color w:val="232323"/>
                <w:sz w:val="20"/>
              </w:rPr>
              <w:t xml:space="preserve">Daniel </w:t>
            </w:r>
            <w:r>
              <w:rPr>
                <w:color w:val="383838"/>
                <w:sz w:val="20"/>
              </w:rPr>
              <w:t xml:space="preserve">V. </w:t>
            </w:r>
            <w:r>
              <w:rPr>
                <w:color w:val="232323"/>
                <w:sz w:val="20"/>
              </w:rPr>
              <w:t>Borelli</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49"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23"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Title: </w:t>
            </w:r>
          </w:p>
        </w:tc>
        <w:tc>
          <w:tcPr>
            <w:tcW w:w="2377" w:type="dxa"/>
            <w:tcBorders/>
            <w:tcMar>
              <w:top w:w="0" w:type="dxa"/>
              <w:left w:w="0" w:type="dxa"/>
              <w:bottom w:w="0" w:type="dxa"/>
              <w:right w:w="0" w:type="dxa"/>
            </w:tcMar>
            <w:vAlign w:val="center"/>
          </w:tcPr>
          <w:p>
            <w:pPr>
              <w:pStyle w:val="TableContents"/>
              <w:bidi w:val="0"/>
              <w:spacing w:before="0" w:after="0"/>
              <w:jc w:val="left"/>
              <w:rPr/>
            </w:pPr>
            <w:r>
              <w:rPr>
                <w:color w:val="232323"/>
                <w:sz w:val="20"/>
              </w:rPr>
              <w:t xml:space="preserve">Senior </w:t>
            </w:r>
            <w:r>
              <w:rPr>
                <w:color w:val="383838"/>
                <w:sz w:val="20"/>
              </w:rPr>
              <w:t xml:space="preserve">Vice </w:t>
            </w:r>
            <w:r>
              <w:rPr>
                <w:color w:val="232323"/>
                <w:sz w:val="20"/>
              </w:rPr>
              <w:t>President</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17</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3134" w:type="dxa"/>
        <w:jc w:val="left"/>
        <w:tblInd w:w="0" w:type="dxa"/>
        <w:tblLayout w:type="fixed"/>
        <w:tblCellMar>
          <w:top w:w="28" w:type="dxa"/>
          <w:left w:w="28" w:type="dxa"/>
          <w:bottom w:w="28" w:type="dxa"/>
          <w:right w:w="28" w:type="dxa"/>
        </w:tblCellMar>
      </w:tblPr>
      <w:tblGrid>
        <w:gridCol w:w="221"/>
        <w:gridCol w:w="451"/>
        <w:gridCol w:w="676"/>
        <w:gridCol w:w="1786"/>
      </w:tblGrid>
      <w:tr>
        <w:trPr/>
        <w:tc>
          <w:tcPr>
            <w:tcW w:w="22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t xml:space="preserve">  </w:t>
            </w:r>
          </w:p>
        </w:tc>
        <w:tc>
          <w:tcPr>
            <w:tcW w:w="2913"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br/>
              <w:t>Mizuho Bank, Ltd.</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913" w:type="dxa"/>
            <w:gridSpan w:val="3"/>
            <w:tcBorders/>
            <w:tcMar>
              <w:top w:w="0" w:type="dxa"/>
              <w:left w:w="0" w:type="dxa"/>
              <w:bottom w:w="0" w:type="dxa"/>
              <w:right w:w="0" w:type="dxa"/>
            </w:tcMar>
            <w:vAlign w:val="center"/>
          </w:tcPr>
          <w:p>
            <w:pPr>
              <w:pStyle w:val="TableContents"/>
              <w:bidi w:val="0"/>
              <w:spacing w:before="0" w:after="0"/>
              <w:jc w:val="left"/>
              <w:rPr/>
            </w:pPr>
            <w:r>
              <w:rPr>
                <w:sz w:val="20"/>
              </w:rPr>
              <w:t>as Consenting Lender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78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246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Donna DeMagistris</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1786"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Donna DeMagistris</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Title: </w:t>
            </w:r>
          </w:p>
        </w:tc>
        <w:tc>
          <w:tcPr>
            <w:tcW w:w="1786" w:type="dxa"/>
            <w:tcBorders/>
            <w:tcMar>
              <w:top w:w="0" w:type="dxa"/>
              <w:left w:w="0" w:type="dxa"/>
              <w:bottom w:w="0" w:type="dxa"/>
              <w:right w:w="0" w:type="dxa"/>
            </w:tcMar>
            <w:vAlign w:val="center"/>
          </w:tcPr>
          <w:p>
            <w:pPr>
              <w:pStyle w:val="TableContents"/>
              <w:bidi w:val="0"/>
              <w:spacing w:before="0" w:after="0"/>
              <w:jc w:val="left"/>
              <w:rPr/>
            </w:pPr>
            <w:r>
              <w:rPr>
                <w:sz w:val="20"/>
              </w:rPr>
              <w:t>Managing Director</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18</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3341" w:type="dxa"/>
        <w:jc w:val="left"/>
        <w:tblInd w:w="0" w:type="dxa"/>
        <w:tblLayout w:type="fixed"/>
        <w:tblCellMar>
          <w:top w:w="28" w:type="dxa"/>
          <w:left w:w="28" w:type="dxa"/>
          <w:bottom w:w="28" w:type="dxa"/>
          <w:right w:w="28" w:type="dxa"/>
        </w:tblCellMar>
      </w:tblPr>
      <w:tblGrid>
        <w:gridCol w:w="221"/>
        <w:gridCol w:w="493"/>
        <w:gridCol w:w="739"/>
        <w:gridCol w:w="1888"/>
      </w:tblGrid>
      <w:tr>
        <w:trPr/>
        <w:tc>
          <w:tcPr>
            <w:tcW w:w="221"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pPr>
            <w:r>
              <w:rPr/>
              <w:t> </w:t>
            </w:r>
          </w:p>
        </w:tc>
        <w:tc>
          <w:tcPr>
            <w:tcW w:w="1888"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t xml:space="preserve">  </w:t>
            </w:r>
          </w:p>
        </w:tc>
        <w:tc>
          <w:tcPr>
            <w:tcW w:w="3120" w:type="dxa"/>
            <w:gridSpan w:val="3"/>
            <w:tcBorders/>
            <w:tcMar>
              <w:top w:w="0" w:type="dxa"/>
              <w:left w:w="0" w:type="dxa"/>
              <w:bottom w:w="0" w:type="dxa"/>
              <w:right w:w="0" w:type="dxa"/>
            </w:tcMar>
            <w:vAlign w:val="center"/>
          </w:tcPr>
          <w:p>
            <w:pPr>
              <w:pStyle w:val="TableContents"/>
              <w:bidi w:val="0"/>
              <w:spacing w:before="0" w:after="0"/>
              <w:jc w:val="left"/>
              <w:rPr>
                <w:b/>
              </w:rPr>
            </w:pPr>
            <w:r>
              <w:rPr>
                <w:b/>
                <w:sz w:val="20"/>
              </w:rPr>
              <w:br/>
              <w:t>JPMORGAN CHASE BANK, N.A.,</w:t>
            </w:r>
            <w:r>
              <w:rPr>
                <w:b/>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20" w:type="dxa"/>
            <w:gridSpan w:val="3"/>
            <w:tcBorders/>
            <w:tcMar>
              <w:top w:w="0" w:type="dxa"/>
              <w:left w:w="0" w:type="dxa"/>
              <w:bottom w:w="0" w:type="dxa"/>
              <w:right w:w="0" w:type="dxa"/>
            </w:tcMar>
            <w:vAlign w:val="center"/>
          </w:tcPr>
          <w:p>
            <w:pPr>
              <w:pStyle w:val="TableContents"/>
              <w:bidi w:val="0"/>
              <w:spacing w:before="0" w:after="0"/>
              <w:jc w:val="left"/>
              <w:rPr/>
            </w:pPr>
            <w:r>
              <w:rPr>
                <w:sz w:val="20"/>
              </w:rPr>
              <w:t>as Consenting Lender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93"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39"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888"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93"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262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sz w:val="20"/>
              </w:rPr>
              <w:t>/s/ David Antoine</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93"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39"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1888" w:type="dxa"/>
            <w:tcBorders>
              <w:top w:val="single" w:sz="8" w:space="0" w:color="000000"/>
            </w:tcBorders>
            <w:tcMar>
              <w:left w:w="0" w:type="dxa"/>
              <w:bottom w:w="0" w:type="dxa"/>
              <w:right w:w="0" w:type="dxa"/>
            </w:tcMar>
            <w:vAlign w:val="center"/>
          </w:tcPr>
          <w:p>
            <w:pPr>
              <w:pStyle w:val="TableContents"/>
              <w:bidi w:val="0"/>
              <w:spacing w:before="0" w:after="0"/>
              <w:jc w:val="left"/>
              <w:rPr/>
            </w:pPr>
            <w:r>
              <w:rPr>
                <w:sz w:val="20"/>
              </w:rPr>
              <w:t>David Antoine</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93"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39"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Title: </w:t>
            </w:r>
          </w:p>
        </w:tc>
        <w:tc>
          <w:tcPr>
            <w:tcW w:w="1888" w:type="dxa"/>
            <w:tcBorders/>
            <w:tcMar>
              <w:top w:w="0" w:type="dxa"/>
              <w:left w:w="0" w:type="dxa"/>
              <w:bottom w:w="0" w:type="dxa"/>
              <w:right w:w="0" w:type="dxa"/>
            </w:tcMar>
            <w:vAlign w:val="center"/>
          </w:tcPr>
          <w:p>
            <w:pPr>
              <w:pStyle w:val="TableContents"/>
              <w:bidi w:val="0"/>
              <w:spacing w:before="0" w:after="0"/>
              <w:jc w:val="left"/>
              <w:rPr/>
            </w:pPr>
            <w:r>
              <w:rPr>
                <w:sz w:val="20"/>
              </w:rPr>
              <w:t>Authorized Officer</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[Signature Page to Amendment No. 1 to Asset-Based Revolving Credit Agreement]</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xml:space="preserve">  </w:t>
      </w:r>
    </w:p>
    <w:p>
      <w:pPr>
        <w:pStyle w:val="HorizontalLine"/>
        <w:bidi w:val="0"/>
        <w:jc w:val="left"/>
        <w:rPr/>
      </w:pPr>
      <w:r>
        <w:rPr/>
      </w:r>
      <w:bookmarkStart w:id="35" w:name="exhibit19.htm"/>
      <w:bookmarkStart w:id="36" w:name="ksexhibit19"/>
      <w:bookmarkStart w:id="37" w:name="exhibit19.htm"/>
      <w:bookmarkStart w:id="38" w:name="ksexhibit19"/>
      <w:bookmarkEnd w:id="37"/>
      <w:bookmarkEnd w:id="38"/>
      <w:r>
        <w:br w:type="page"/>
      </w:r>
    </w:p>
    <w:p>
      <w:pPr>
        <w:pStyle w:val="TextBody"/>
        <w:bidi w:val="0"/>
        <w:spacing w:before="0" w:after="0"/>
        <w:ind w:left="0" w:right="360" w:hanging="0"/>
        <w:jc w:val="right"/>
        <w:rPr>
          <w:b/>
          <w:sz w:val="20"/>
        </w:rPr>
      </w:pPr>
      <w:r>
        <w:rPr>
          <w:b/>
          <w:sz w:val="20"/>
        </w:rPr>
        <w:t>Exhibit 19</w:t>
      </w:r>
    </w:p>
    <w:p>
      <w:pPr>
        <w:pStyle w:val="TextBody"/>
        <w:bidi w:val="0"/>
        <w:spacing w:before="0" w:after="0"/>
        <w:ind w:left="0" w:right="360" w:hanging="0"/>
        <w:jc w:val="center"/>
        <w:rPr/>
      </w:pPr>
      <w:r>
        <w:rPr/>
        <w:t> </w:t>
      </w:r>
    </w:p>
    <w:p>
      <w:pPr>
        <w:pStyle w:val="TextBody"/>
        <w:bidi w:val="0"/>
        <w:spacing w:before="0" w:after="0"/>
        <w:ind w:left="0" w:right="360" w:hanging="0"/>
        <w:jc w:val="center"/>
        <w:rPr/>
      </w:pPr>
      <w:r>
        <w:rPr/>
        <w:drawing>
          <wp:inline distT="0" distB="0" distL="0" distR="0">
            <wp:extent cx="3573145" cy="922020"/>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1"/>
                    <a:stretch>
                      <a:fillRect/>
                    </a:stretch>
                  </pic:blipFill>
                  <pic:spPr bwMode="auto">
                    <a:xfrm>
                      <a:off x="0" y="0"/>
                      <a:ext cx="3573145" cy="922020"/>
                    </a:xfrm>
                    <a:prstGeom prst="rect">
                      <a:avLst/>
                    </a:prstGeom>
                  </pic:spPr>
                </pic:pic>
              </a:graphicData>
            </a:graphic>
          </wp:inline>
        </w:drawing>
      </w:r>
      <w:r>
        <w:rPr/>
        <w:t xml:space="preserve"> </w:t>
      </w:r>
    </w:p>
    <w:p>
      <w:pPr>
        <w:pStyle w:val="TextBody"/>
        <w:bidi w:val="0"/>
        <w:spacing w:before="263" w:after="283"/>
        <w:ind w:left="0" w:right="356" w:hanging="0"/>
        <w:jc w:val="center"/>
        <w:rPr/>
      </w:pPr>
      <w:r>
        <w:rPr>
          <w:b/>
        </w:rPr>
        <w:t>Insider Trading Policy</w:t>
      </w:r>
      <w:r>
        <w:rPr/>
        <w:t xml:space="preserve"> </w:t>
      </w:r>
    </w:p>
    <w:p>
      <w:pPr>
        <w:pStyle w:val="TextBody"/>
        <w:bidi w:val="0"/>
        <w:spacing w:before="264" w:after="283"/>
        <w:jc w:val="left"/>
        <w:rPr>
          <w:b/>
          <w:sz w:val="24"/>
        </w:rPr>
      </w:pPr>
      <w:r>
        <w:rPr>
          <w:b/>
          <w:sz w:val="22"/>
        </w:rPr>
        <w:t>Purpose</w:t>
      </w:r>
      <w:r>
        <w:rPr>
          <w:b/>
          <w:sz w:val="24"/>
        </w:rPr>
        <w:t xml:space="preserve"> </w:t>
      </w:r>
    </w:p>
    <w:p>
      <w:pPr>
        <w:pStyle w:val="TextBody"/>
        <w:bidi w:val="0"/>
        <w:spacing w:before="240" w:after="283"/>
        <w:jc w:val="both"/>
        <w:rPr>
          <w:sz w:val="24"/>
        </w:rPr>
      </w:pPr>
      <w:r>
        <w:rPr>
          <w:sz w:val="22"/>
        </w:rPr>
        <w:t>This Insider Trading Policy (the “</w:t>
      </w:r>
      <w:r>
        <w:rPr>
          <w:sz w:val="22"/>
          <w:u w:val="single"/>
        </w:rPr>
        <w:t>Policy</w:t>
      </w:r>
      <w:r>
        <w:rPr>
          <w:sz w:val="24"/>
        </w:rPr>
        <w:t>”</w:t>
      </w:r>
      <w:r>
        <w:rPr>
          <w:sz w:val="22"/>
        </w:rPr>
        <w:t>) provides guidelines with respect to transactions in the securities of Magnera Corporation (the “</w:t>
      </w:r>
      <w:r>
        <w:rPr>
          <w:sz w:val="22"/>
          <w:u w:val="single"/>
        </w:rPr>
        <w:t>Company</w:t>
      </w:r>
      <w:r>
        <w:rPr>
          <w:sz w:val="24"/>
        </w:rPr>
        <w:t>”</w:t>
      </w:r>
      <w:r>
        <w:rPr>
          <w:sz w:val="22"/>
        </w:rPr>
        <w:t>) and the handling of confidential information about the Company and the companies with which the Company does business. The Company’s Board of Directors has adopted this Policy to promote compliance with federal and state securities laws that prohibit certain persons who are aware of material nonpublic information about a company from: (i) trading in securities of that company; or (ii) providing material nonpublic information to other persons who may trade on the basis of that information.</w:t>
      </w:r>
      <w:r>
        <w:rPr>
          <w:sz w:val="24"/>
        </w:rPr>
        <w:t xml:space="preserve"> </w:t>
      </w:r>
    </w:p>
    <w:p>
      <w:pPr>
        <w:pStyle w:val="TextBody"/>
        <w:bidi w:val="0"/>
        <w:spacing w:before="239" w:after="283"/>
        <w:jc w:val="left"/>
        <w:rPr>
          <w:b/>
          <w:sz w:val="24"/>
        </w:rPr>
      </w:pPr>
      <w:r>
        <w:rPr>
          <w:b/>
          <w:sz w:val="22"/>
        </w:rPr>
        <w:t>Persons Subject to the Policy</w:t>
      </w:r>
      <w:r>
        <w:rPr>
          <w:b/>
          <w:sz w:val="24"/>
        </w:rPr>
        <w:t xml:space="preserve"> </w:t>
      </w:r>
    </w:p>
    <w:p>
      <w:pPr>
        <w:pStyle w:val="TextBody"/>
        <w:bidi w:val="0"/>
        <w:spacing w:before="240" w:after="283"/>
        <w:jc w:val="both"/>
        <w:rPr>
          <w:sz w:val="24"/>
        </w:rPr>
      </w:pPr>
      <w:r>
        <w:rPr>
          <w:sz w:val="22"/>
        </w:rPr>
        <w:t>This Policy applies to all officers of the Company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r>
        <w:rPr>
          <w:sz w:val="24"/>
        </w:rPr>
        <w:t xml:space="preserve"> </w:t>
      </w:r>
    </w:p>
    <w:p>
      <w:pPr>
        <w:pStyle w:val="TextBody"/>
        <w:bidi w:val="0"/>
        <w:spacing w:before="240" w:after="283"/>
        <w:jc w:val="both"/>
        <w:rPr>
          <w:b/>
          <w:sz w:val="24"/>
        </w:rPr>
      </w:pPr>
      <w:r>
        <w:rPr>
          <w:b/>
          <w:sz w:val="22"/>
        </w:rPr>
        <w:t>Transactions Subject to the Policy</w:t>
      </w:r>
      <w:r>
        <w:rPr>
          <w:b/>
          <w:sz w:val="24"/>
        </w:rPr>
        <w:t xml:space="preserve"> </w:t>
      </w:r>
    </w:p>
    <w:p>
      <w:pPr>
        <w:pStyle w:val="TextBody"/>
        <w:bidi w:val="0"/>
        <w:spacing w:before="240" w:after="283"/>
        <w:jc w:val="both"/>
        <w:rPr>
          <w:sz w:val="24"/>
        </w:rPr>
      </w:pPr>
      <w:r>
        <w:rPr>
          <w:sz w:val="22"/>
        </w:rPr>
        <w:t>This Policy applies to transactions in the Company’s securities (collectively referred to in this Policy as “</w:t>
      </w:r>
      <w:r>
        <w:rPr>
          <w:sz w:val="22"/>
          <w:u w:val="single"/>
        </w:rPr>
        <w:t>Company Securities</w:t>
      </w:r>
      <w:r>
        <w:rPr>
          <w:sz w:val="24"/>
        </w:rPr>
        <w:t>”</w:t>
      </w:r>
      <w:r>
        <w:rPr>
          <w:sz w:val="22"/>
        </w:rPr>
        <w:t xml:space="preserve">), including, but not limited to, the Company’s common stock, options to purchase common stock, preferred stock, debt securities and warrants, or any other type of securities that the Company may issue, as well as derivative securities that are not issued by the Company, such as exchange-traded put or call options or swaps relating to the Company’s Securities. Transactions subject to this Policy include purchases, sales and </w:t>
      </w:r>
      <w:r>
        <w:rPr>
          <w:i/>
          <w:sz w:val="22"/>
        </w:rPr>
        <w:t xml:space="preserve">bona fide </w:t>
      </w:r>
      <w:r>
        <w:rPr>
          <w:sz w:val="22"/>
        </w:rPr>
        <w:t>gifts of Company Securities. However, transactions in mutual funds that are invested in Company Securities are not transactions subject to this Policy.</w:t>
      </w:r>
      <w:r>
        <w:rPr>
          <w:sz w:val="24"/>
        </w:rPr>
        <w:t xml:space="preserve"> </w:t>
      </w:r>
    </w:p>
    <w:p>
      <w:pPr>
        <w:pStyle w:val="TextBody"/>
        <w:bidi w:val="0"/>
        <w:spacing w:before="240" w:after="283"/>
        <w:jc w:val="both"/>
        <w:rPr>
          <w:b/>
          <w:sz w:val="24"/>
        </w:rPr>
      </w:pPr>
      <w:r>
        <w:rPr>
          <w:b/>
          <w:sz w:val="22"/>
        </w:rPr>
        <w:t>Individual Responsibility</w:t>
      </w:r>
      <w:r>
        <w:rPr>
          <w:b/>
          <w:sz w:val="24"/>
        </w:rPr>
        <w:t xml:space="preserve"> </w:t>
      </w:r>
    </w:p>
    <w:p>
      <w:pPr>
        <w:pStyle w:val="TextBody"/>
        <w:bidi w:val="0"/>
        <w:spacing w:before="241" w:after="283"/>
        <w:jc w:val="both"/>
        <w:rPr>
          <w:sz w:val="24"/>
        </w:rPr>
      </w:pPr>
      <w:r>
        <w:rPr>
          <w:sz w:val="22"/>
        </w:rPr>
        <w:t>Persons subject to this Policy have ethical and legal obligations to maintain the confidentiality of information about the Company and to not engage in transactions in Company Securities while in possession of Material Nonpublic Information. Persons subject to this Policy are responsible for making sure that they comply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theCompany, the General Counsel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r>
        <w:rPr>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40" w:after="283"/>
        <w:jc w:val="both"/>
        <w:rPr>
          <w:b/>
          <w:sz w:val="24"/>
        </w:rPr>
      </w:pPr>
      <w:r>
        <w:rPr>
          <w:b/>
          <w:sz w:val="22"/>
        </w:rPr>
        <w:t>Statement of Policy</w:t>
      </w:r>
      <w:r>
        <w:rPr>
          <w:b/>
          <w:sz w:val="24"/>
        </w:rPr>
        <w:t xml:space="preserve"> </w:t>
      </w:r>
    </w:p>
    <w:p>
      <w:pPr>
        <w:pStyle w:val="TextBody"/>
        <w:bidi w:val="0"/>
        <w:spacing w:before="0" w:after="0"/>
        <w:jc w:val="both"/>
        <w:rPr/>
      </w:pPr>
      <w:r>
        <w:rPr/>
        <w:t xml:space="preserve">  </w:t>
      </w:r>
    </w:p>
    <w:p>
      <w:pPr>
        <w:pStyle w:val="TextBody"/>
        <w:bidi w:val="0"/>
        <w:spacing w:before="0" w:after="0"/>
        <w:jc w:val="both"/>
        <w:rPr>
          <w:sz w:val="24"/>
        </w:rPr>
      </w:pPr>
      <w:r>
        <w:rPr>
          <w:sz w:val="22"/>
        </w:rPr>
        <w:t>It is the policy of the Company that no director, officer or other employee of the Company (or any other person designated by this Policy or by the General Counsel as subject to this Policy) who is aware of Material Nonpublic Information relating to the Company may, directly, or indirectly through family members or other persons or entities:</w:t>
      </w:r>
      <w:r>
        <w:rPr>
          <w:sz w:val="24"/>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t xml:space="preserve">Engage in transactions in Company Securities, except as otherwise specified in this Policy under the headings “Transactions Under Company Plans” and “Rule 10b5-1 Plans;”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 cy="175260"/>
                <wp:effectExtent l="0" t="0" r="0" b="0"/>
                <wp:wrapSquare wrapText="right"/>
                <wp:docPr id="27" name="Frame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pPr>
      <w:r>
        <w:rPr/>
        <w:t xml:space="preserve">Recommend the purchase or sale of any Company Securities;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28600" cy="175260"/>
                <wp:effectExtent l="0" t="0" r="0" b="0"/>
                <wp:wrapSquare wrapText="right"/>
                <wp:docPr id="28" name="Frame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pPr>
      <w:r>
        <w:rPr/>
        <w:t xml:space="preserve">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9" name="Frame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pPr>
      <w:r>
        <w:rPr/>
        <w:t xml:space="preserve">Assist anyone engaged in the above activities.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28600" cy="175260"/>
                <wp:effectExtent l="0" t="0" r="0" b="0"/>
                <wp:wrapSquare wrapText="right"/>
                <wp:docPr id="30" name="Frame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241" w:after="283"/>
        <w:jc w:val="both"/>
        <w:rPr>
          <w:sz w:val="24"/>
        </w:rPr>
      </w:pPr>
      <w:r>
        <w:rPr>
          <w:sz w:val="22"/>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supplier or competitor of the Company, may trade in that company’s securities until the information becomes public or is no longer material. It is also the policy of the Company that the Company will not engage in transactions in the Company’s Securities while aware of Material Nonpublic Information relating to the Company or the Company’s Securities, except in the event such transactions are carried out pursuant to Rule 10b5-1 or as otherwise permitted under the Exchange Act.</w:t>
      </w:r>
      <w:r>
        <w:rPr>
          <w:sz w:val="24"/>
        </w:rPr>
        <w:t xml:space="preserve"> </w:t>
      </w:r>
    </w:p>
    <w:p>
      <w:pPr>
        <w:pStyle w:val="TextBody"/>
        <w:bidi w:val="0"/>
        <w:spacing w:before="240" w:after="283"/>
        <w:jc w:val="both"/>
        <w:rPr>
          <w:sz w:val="24"/>
        </w:rPr>
      </w:pPr>
      <w:r>
        <w:rPr>
          <w:sz w:val="22"/>
        </w:rPr>
        <w:t>There are no exceptions to this Policy, except as specifically noted herein. Transactions for no consideration,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r>
        <w:rPr>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79" w:after="283"/>
        <w:jc w:val="both"/>
        <w:rPr>
          <w:b/>
          <w:sz w:val="24"/>
        </w:rPr>
      </w:pPr>
      <w:r>
        <w:rPr>
          <w:b/>
          <w:sz w:val="22"/>
        </w:rPr>
        <w:t>Definition of “Material Nonpublic Information”</w:t>
      </w:r>
      <w:r>
        <w:rPr>
          <w:b/>
          <w:sz w:val="24"/>
        </w:rPr>
        <w:t xml:space="preserve"> </w:t>
      </w:r>
    </w:p>
    <w:p>
      <w:pPr>
        <w:pStyle w:val="TextBody"/>
        <w:bidi w:val="0"/>
        <w:spacing w:before="240" w:after="283"/>
        <w:jc w:val="both"/>
        <w:rPr>
          <w:sz w:val="24"/>
        </w:rPr>
      </w:pPr>
      <w:r>
        <w:rPr>
          <w:sz w:val="22"/>
          <w:u w:val="single"/>
        </w:rPr>
        <w:t>Material Information</w:t>
      </w:r>
      <w:r>
        <w:rPr>
          <w:sz w:val="22"/>
        </w:rPr>
        <w:t>. Information is considered “material” if a reasonable investor would consider that information important in making a decision to buy, hold or sell securities. Any information that could be expected to affect the Company’s stock price, whether it is positive or negative, should be considered material. Determining whether information is material is not always straightforward;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r>
        <w:rPr>
          <w:sz w:val="24"/>
        </w:rPr>
        <w:t xml:space="preserve"> </w:t>
      </w:r>
    </w:p>
    <w:p>
      <w:pPr>
        <w:pStyle w:val="TextBody"/>
        <w:bidi w:val="0"/>
        <w:spacing w:before="200" w:after="283"/>
        <w:ind w:left="0" w:right="0" w:hanging="360"/>
        <w:jc w:val="both"/>
        <w:rPr/>
      </w:pPr>
      <w:r>
        <w:rPr/>
        <w:t xml:space="preserve">Projections of future earnings or losses, or other earnings guidance;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28600" cy="175260"/>
                <wp:effectExtent l="0" t="0" r="0" b="0"/>
                <wp:wrapSquare wrapText="right"/>
                <wp:docPr id="31" name="Frame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Changes to previously announced earnings guidance, or the decision to suspend earnings guidance;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28600" cy="175260"/>
                <wp:effectExtent l="0" t="0" r="0" b="0"/>
                <wp:wrapSquare wrapText="right"/>
                <wp:docPr id="32" name="Frame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A pending or proposed merger, acquisition or tender offer;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228600" cy="175260"/>
                <wp:effectExtent l="0" t="0" r="0" b="0"/>
                <wp:wrapSquare wrapText="right"/>
                <wp:docPr id="33" name="Frame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A pending or proposed acquisition or disposition of a significant asset;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28600" cy="175260"/>
                <wp:effectExtent l="0" t="0" r="0" b="0"/>
                <wp:wrapSquare wrapText="right"/>
                <wp:docPr id="34" name="Frame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Pending or threatened significant litigation, or the resolution of such litigation;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28600" cy="175260"/>
                <wp:effectExtent l="0" t="0" r="0" b="0"/>
                <wp:wrapSquare wrapText="right"/>
                <wp:docPr id="35" name="Frame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A pending or proposed joint venture;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28600" cy="175260"/>
                <wp:effectExtent l="0" t="0" r="0" b="0"/>
                <wp:wrapSquare wrapText="right"/>
                <wp:docPr id="36" name="Frame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A change in dividend policy, the declaration of a stock split, or an offering of additional securities;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28600" cy="175260"/>
                <wp:effectExtent l="0" t="0" r="0" b="0"/>
                <wp:wrapSquare wrapText="right"/>
                <wp:docPr id="37" name="Frame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Bank borrowings or other financing transactions out of the ordinary course;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28600" cy="175260"/>
                <wp:effectExtent l="0" t="0" r="0" b="0"/>
                <wp:wrapSquare wrapText="right"/>
                <wp:docPr id="38" name="Frame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The establishment of a repurchase program for Company Securities;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28600" cy="175260"/>
                <wp:effectExtent l="0" t="0" r="0" b="0"/>
                <wp:wrapSquare wrapText="right"/>
                <wp:docPr id="39" name="Frame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A change in the Company’s pricing or cost structure;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28600" cy="175260"/>
                <wp:effectExtent l="0" t="0" r="0" b="0"/>
                <wp:wrapSquare wrapText="right"/>
                <wp:docPr id="40" name="Frame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A change in management;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228600" cy="175260"/>
                <wp:effectExtent l="0" t="0" r="0" b="0"/>
                <wp:wrapSquare wrapText="right"/>
                <wp:docPr id="41" name="Frame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The gain or loss of a significant customer or supplier;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228600" cy="175260"/>
                <wp:effectExtent l="0" t="0" r="0" b="0"/>
                <wp:wrapSquare wrapText="right"/>
                <wp:docPr id="42" name="Frame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Development of a significant new product, process, or service;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228600" cy="175260"/>
                <wp:effectExtent l="0" t="0" r="0" b="0"/>
                <wp:wrapSquare wrapText="right"/>
                <wp:docPr id="43" name="Frame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Significant disruptions to operations;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228600" cy="175260"/>
                <wp:effectExtent l="0" t="0" r="0" b="0"/>
                <wp:wrapSquare wrapText="right"/>
                <wp:docPr id="44" name="Frame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Major marketing changes;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228600" cy="175260"/>
                <wp:effectExtent l="0" t="0" r="0" b="0"/>
                <wp:wrapSquare wrapText="right"/>
                <wp:docPr id="45" name="Frame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A Company restructuring;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228600" cy="175260"/>
                <wp:effectExtent l="0" t="0" r="0" b="0"/>
                <wp:wrapSquare wrapText="right"/>
                <wp:docPr id="46" name="Frame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Significant related party transactions; and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228600" cy="175260"/>
                <wp:effectExtent l="0" t="0" r="0" b="0"/>
                <wp:wrapSquare wrapText="right"/>
                <wp:docPr id="47" name="Frame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00" w:after="283"/>
        <w:ind w:left="0" w:right="0" w:hanging="360"/>
        <w:jc w:val="both"/>
        <w:rPr/>
      </w:pPr>
      <w:r>
        <w:rPr/>
        <w:t xml:space="preserve">A change in auditors or notification that the auditor’s reports may no longer be relied upon.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228600" cy="175260"/>
                <wp:effectExtent l="0" t="0" r="0" b="0"/>
                <wp:wrapSquare wrapText="right"/>
                <wp:docPr id="48" name="Frame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360" w:hanging="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40" w:after="283"/>
        <w:ind w:left="0" w:right="0" w:firstLine="719"/>
        <w:jc w:val="both"/>
        <w:rPr>
          <w:sz w:val="24"/>
        </w:rPr>
      </w:pPr>
      <w:r>
        <w:rPr>
          <w:sz w:val="22"/>
          <w:u w:val="single"/>
        </w:rPr>
        <w:t>When Information is Considered Public</w:t>
      </w:r>
      <w:r>
        <w:rPr>
          <w:sz w:val="22"/>
        </w:rPr>
        <w:t>. Information that is not generally known by or available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publication in a widely-available newspaper, magazine or news website, or public disclosure 4 documents filed with the United States Securities and Exchange Commission (“</w:t>
      </w:r>
      <w:r>
        <w:rPr>
          <w:sz w:val="22"/>
          <w:u w:val="single"/>
        </w:rPr>
        <w:t>SEC</w:t>
      </w:r>
      <w:r>
        <w:rPr>
          <w:sz w:val="24"/>
        </w:rPr>
        <w:t>”</w:t>
      </w:r>
      <w:r>
        <w:rPr>
          <w:sz w:val="22"/>
        </w:rPr>
        <w:t>) that are available on the SEC’s website. By contrast, information would likely not be considered widely disseminated if it is available only to the Company’s employees, or if it is only available to a select group of analysts, brokers and institutional investors.</w:t>
      </w:r>
      <w:r>
        <w:rPr>
          <w:sz w:val="24"/>
        </w:rPr>
        <w:t xml:space="preserve"> </w:t>
      </w:r>
    </w:p>
    <w:p>
      <w:pPr>
        <w:pStyle w:val="TextBody"/>
        <w:bidi w:val="0"/>
        <w:spacing w:before="241" w:after="283"/>
        <w:jc w:val="both"/>
        <w:rPr>
          <w:sz w:val="24"/>
        </w:rPr>
      </w:pPr>
      <w:r>
        <w:rPr>
          <w:sz w:val="22"/>
        </w:rPr>
        <w:t>Once information is widely disseminated, it is still necessary to afford the investing public with sufficient time to absorb the information. As a general rule, information should not be considered fully absorbed by the marketplace until after the second business day after the day on which the information is released, provided that the first public announcement of earnings for a quarter or year shall be considered fully absorbed as described below in the section entitled “Quarterly Trading Restrictions.” If, for example, the Company were to make an announcement after the close of markets on a Monday, you should not trade in Company Securities until markets open on Thursday. Depending on the particular circumstances, the Company may determine that a longer or shorter period should apply to the release of specific Material Nonpublic Information.</w:t>
      </w:r>
      <w:r>
        <w:rPr>
          <w:sz w:val="24"/>
        </w:rPr>
        <w:t xml:space="preserve"> </w:t>
      </w:r>
    </w:p>
    <w:p>
      <w:pPr>
        <w:pStyle w:val="TextBody"/>
        <w:bidi w:val="0"/>
        <w:spacing w:before="240" w:after="283"/>
        <w:jc w:val="both"/>
        <w:rPr>
          <w:b/>
          <w:sz w:val="24"/>
        </w:rPr>
      </w:pPr>
      <w:r>
        <w:rPr>
          <w:b/>
          <w:sz w:val="22"/>
        </w:rPr>
        <w:t>Transactions by Family Members and Others</w:t>
      </w:r>
      <w:r>
        <w:rPr>
          <w:b/>
          <w:sz w:val="24"/>
        </w:rPr>
        <w:t xml:space="preserve"> </w:t>
      </w:r>
    </w:p>
    <w:p>
      <w:pPr>
        <w:pStyle w:val="TextBody"/>
        <w:bidi w:val="0"/>
        <w:spacing w:before="240" w:after="283"/>
        <w:jc w:val="both"/>
        <w:rPr>
          <w:sz w:val="24"/>
        </w:rPr>
      </w:pPr>
      <w:r>
        <w:rPr>
          <w:sz w:val="22"/>
        </w:rPr>
        <w:t>This Policy applies to your family members who reside with you (including a spouse, a child, a child away at college/university,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sz w:val="22"/>
          <w:u w:val="single"/>
        </w:rPr>
        <w:t>Family Members</w:t>
      </w:r>
      <w:r>
        <w:rPr>
          <w:sz w:val="24"/>
        </w:rPr>
        <w:t>”</w:t>
      </w:r>
      <w:r>
        <w:rPr>
          <w:sz w:val="22"/>
        </w:rPr>
        <w:t>). You are responsible for the transactions of Family Members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r>
        <w:rPr>
          <w:sz w:val="24"/>
        </w:rPr>
        <w:t xml:space="preserve"> </w:t>
      </w:r>
    </w:p>
    <w:p>
      <w:pPr>
        <w:pStyle w:val="TextBody"/>
        <w:bidi w:val="0"/>
        <w:spacing w:before="241" w:after="283"/>
        <w:jc w:val="both"/>
        <w:rPr>
          <w:b/>
          <w:sz w:val="24"/>
        </w:rPr>
      </w:pPr>
      <w:r>
        <w:rPr>
          <w:b/>
          <w:sz w:val="22"/>
        </w:rPr>
        <w:t>Transactions by Entities that You Influence or Control</w:t>
      </w:r>
      <w:r>
        <w:rPr>
          <w:b/>
          <w:sz w:val="24"/>
        </w:rPr>
        <w:t xml:space="preserve"> </w:t>
      </w:r>
    </w:p>
    <w:p>
      <w:pPr>
        <w:pStyle w:val="TextBody"/>
        <w:bidi w:val="0"/>
        <w:spacing w:before="240" w:after="283"/>
        <w:jc w:val="both"/>
        <w:rPr>
          <w:sz w:val="24"/>
        </w:rPr>
      </w:pPr>
      <w:r>
        <w:rPr>
          <w:sz w:val="22"/>
        </w:rPr>
        <w:t>This Policy applies to any entities that you influence or control, including any corporations, partnerships or trusts (collectively referred to as “</w:t>
      </w:r>
      <w:r>
        <w:rPr>
          <w:sz w:val="22"/>
          <w:u w:val="single"/>
        </w:rPr>
        <w:t>Controlled Entities</w:t>
      </w:r>
      <w:r>
        <w:rPr>
          <w:sz w:val="24"/>
        </w:rPr>
        <w:t>”</w:t>
      </w:r>
      <w:r>
        <w:rPr>
          <w:sz w:val="22"/>
        </w:rPr>
        <w:t>), and transactions by these Controlled Entities should be treated for the purposes of this Policy and applicable securities laws as if they were for your own account.</w:t>
      </w:r>
      <w:r>
        <w:rPr>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79" w:after="283"/>
        <w:jc w:val="both"/>
        <w:rPr>
          <w:b/>
          <w:sz w:val="24"/>
        </w:rPr>
      </w:pPr>
      <w:r>
        <w:rPr>
          <w:b/>
          <w:sz w:val="22"/>
        </w:rPr>
        <w:t>Short-Term Trading</w:t>
      </w:r>
      <w:r>
        <w:rPr>
          <w:b/>
          <w:sz w:val="24"/>
        </w:rPr>
        <w:t xml:space="preserve"> </w:t>
      </w:r>
    </w:p>
    <w:p>
      <w:pPr>
        <w:pStyle w:val="TextBody"/>
        <w:bidi w:val="0"/>
        <w:spacing w:before="240" w:after="283"/>
        <w:jc w:val="both"/>
        <w:rPr>
          <w:sz w:val="24"/>
        </w:rPr>
      </w:pPr>
      <w:r>
        <w:rPr>
          <w:sz w:val="22"/>
        </w:rPr>
        <w:t>Short-term trading of Company Securities may be distracting to the person and may unduly focus the person on the Company’s short-term stock market performance instead of the Company’s long-term business objectives. In addition, directors and officers are subject to short swing profit forfeiture for purchases and sales (or sales and purchases) within a six (6)-month period. For these reasons, any director or officer of the Company who purchases Company Securities in the open market may not sell any Company Securities of the same class during the six months following the purchase (or vice versa).</w:t>
      </w:r>
      <w:r>
        <w:rPr>
          <w:sz w:val="24"/>
        </w:rPr>
        <w:t xml:space="preserve"> </w:t>
      </w:r>
    </w:p>
    <w:p>
      <w:pPr>
        <w:pStyle w:val="TextBody"/>
        <w:bidi w:val="0"/>
        <w:spacing w:before="240" w:after="283"/>
        <w:jc w:val="both"/>
        <w:rPr>
          <w:b/>
          <w:sz w:val="24"/>
        </w:rPr>
      </w:pPr>
      <w:r>
        <w:rPr>
          <w:b/>
          <w:sz w:val="22"/>
        </w:rPr>
        <w:t>Transactions under Company Plans</w:t>
      </w:r>
      <w:r>
        <w:rPr>
          <w:b/>
          <w:sz w:val="24"/>
        </w:rPr>
        <w:t xml:space="preserve"> </w:t>
      </w:r>
    </w:p>
    <w:p>
      <w:pPr>
        <w:pStyle w:val="TextBody"/>
        <w:bidi w:val="0"/>
        <w:spacing w:before="240" w:after="283"/>
        <w:jc w:val="both"/>
        <w:rPr>
          <w:sz w:val="24"/>
        </w:rPr>
      </w:pPr>
      <w:r>
        <w:rPr>
          <w:sz w:val="22"/>
        </w:rPr>
        <w:t>This Policy does not apply in the case of the following transactions, except as specifically noted:</w:t>
      </w:r>
      <w:r>
        <w:rPr>
          <w:sz w:val="24"/>
        </w:rPr>
        <w:t xml:space="preserve"> </w:t>
      </w:r>
    </w:p>
    <w:p>
      <w:pPr>
        <w:pStyle w:val="TextBody"/>
        <w:bidi w:val="0"/>
        <w:spacing w:before="241" w:after="283"/>
        <w:ind w:left="0" w:right="0" w:firstLine="719"/>
        <w:jc w:val="both"/>
        <w:rPr>
          <w:sz w:val="24"/>
        </w:rPr>
      </w:pPr>
      <w:r>
        <w:rPr>
          <w:i/>
          <w:sz w:val="22"/>
          <w:u w:val="single"/>
        </w:rPr>
        <w:t>Stock Option Exercises</w:t>
      </w:r>
      <w:r>
        <w:rPr>
          <w:i/>
          <w:sz w:val="22"/>
        </w:rPr>
        <w:t xml:space="preserve">. </w:t>
      </w:r>
      <w:r>
        <w:rPr>
          <w:sz w:val="22"/>
        </w:rPr>
        <w:t>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r>
        <w:rPr>
          <w:sz w:val="24"/>
        </w:rPr>
        <w:t xml:space="preserve"> </w:t>
      </w:r>
    </w:p>
    <w:p>
      <w:pPr>
        <w:pStyle w:val="TextBody"/>
        <w:bidi w:val="0"/>
        <w:spacing w:before="240" w:after="283"/>
        <w:ind w:left="0" w:right="0" w:firstLine="719"/>
        <w:jc w:val="both"/>
        <w:rPr>
          <w:sz w:val="24"/>
        </w:rPr>
      </w:pPr>
      <w:r>
        <w:rPr>
          <w:i/>
          <w:sz w:val="22"/>
          <w:u w:val="single"/>
        </w:rPr>
        <w:t>Restricted Stock Awards</w:t>
      </w:r>
      <w:r>
        <w:rPr>
          <w:i/>
          <w:sz w:val="22"/>
        </w:rPr>
        <w:t xml:space="preserve">. </w:t>
      </w:r>
      <w:r>
        <w:rPr>
          <w:sz w:val="22"/>
        </w:rPr>
        <w:t>This Policy does not apply to the vesting of restricted stock or restricted stock units (“</w:t>
      </w:r>
      <w:r>
        <w:rPr>
          <w:sz w:val="22"/>
          <w:u w:val="single"/>
        </w:rPr>
        <w:t>RSUs</w:t>
      </w:r>
      <w:r>
        <w:rPr>
          <w:sz w:val="24"/>
        </w:rPr>
        <w:t>”</w:t>
      </w:r>
      <w:r>
        <w:rPr>
          <w:sz w:val="22"/>
        </w:rPr>
        <w:t>), or the exercise of a tax withholding right pursuant to which you elect to have the Company withhold shares of stock to satisfy tax withholding requirements upon the vesting of any restricted stock or RSUs. The Policy does apply, however, to any market sale of restricted stock.</w:t>
      </w:r>
      <w:r>
        <w:rPr>
          <w:sz w:val="24"/>
        </w:rPr>
        <w:t xml:space="preserve"> </w:t>
      </w:r>
    </w:p>
    <w:p>
      <w:pPr>
        <w:pStyle w:val="TextBody"/>
        <w:bidi w:val="0"/>
        <w:spacing w:before="240" w:after="283"/>
        <w:ind w:left="0" w:right="0" w:firstLine="719"/>
        <w:jc w:val="both"/>
        <w:rPr>
          <w:sz w:val="24"/>
        </w:rPr>
      </w:pPr>
      <w:r>
        <w:rPr>
          <w:i/>
          <w:sz w:val="22"/>
          <w:u w:val="single"/>
        </w:rPr>
        <w:t>401(k) Plan</w:t>
      </w:r>
      <w:r>
        <w:rPr>
          <w:i/>
          <w:sz w:val="22"/>
        </w:rPr>
        <w:t xml:space="preserve">. </w:t>
      </w:r>
      <w:r>
        <w:rPr>
          <w:sz w:val="22"/>
        </w:rPr>
        <w:t>This Policy does not apply to purchases of Company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r>
        <w:rPr>
          <w:sz w:val="24"/>
        </w:rPr>
        <w:t xml:space="preserve"> </w:t>
      </w:r>
    </w:p>
    <w:p>
      <w:pPr>
        <w:pStyle w:val="TextBody"/>
        <w:bidi w:val="0"/>
        <w:spacing w:before="240" w:after="283"/>
        <w:ind w:left="0" w:right="0" w:firstLine="719"/>
        <w:jc w:val="both"/>
        <w:rPr>
          <w:sz w:val="24"/>
        </w:rPr>
      </w:pPr>
      <w:r>
        <w:rPr>
          <w:i/>
          <w:sz w:val="22"/>
          <w:u w:val="single"/>
        </w:rPr>
        <w:t>Other Similar Transactions</w:t>
      </w:r>
      <w:r>
        <w:rPr>
          <w:i/>
          <w:sz w:val="22"/>
        </w:rPr>
        <w:t xml:space="preserve">. </w:t>
      </w:r>
      <w:r>
        <w:rPr>
          <w:sz w:val="22"/>
        </w:rPr>
        <w:t>Any other purchase of Company Securities from the Company or sales of Company Securities to the Company are not subject to this Policy.</w:t>
      </w:r>
      <w:r>
        <w:rPr>
          <w:sz w:val="24"/>
        </w:rPr>
        <w:t xml:space="preserve"> </w:t>
      </w:r>
    </w:p>
    <w:p>
      <w:pPr>
        <w:pStyle w:val="TextBody"/>
        <w:bidi w:val="0"/>
        <w:spacing w:before="240" w:after="283"/>
        <w:jc w:val="both"/>
        <w:rPr>
          <w:b/>
          <w:sz w:val="24"/>
        </w:rPr>
      </w:pPr>
      <w:r>
        <w:rPr>
          <w:b/>
          <w:sz w:val="22"/>
        </w:rPr>
        <w:t>Special and Prohibited Transactions</w:t>
      </w:r>
      <w:r>
        <w:rPr>
          <w:b/>
          <w:sz w:val="24"/>
        </w:rPr>
        <w:t xml:space="preserve"> </w:t>
      </w:r>
    </w:p>
    <w:p>
      <w:pPr>
        <w:pStyle w:val="TextBody"/>
        <w:bidi w:val="0"/>
        <w:spacing w:before="241" w:after="283"/>
        <w:jc w:val="both"/>
        <w:rPr>
          <w:sz w:val="24"/>
        </w:rPr>
      </w:pPr>
      <w:r>
        <w:rPr>
          <w:sz w:val="22"/>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r>
        <w:rPr>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79" w:after="283"/>
        <w:ind w:left="0" w:right="0" w:firstLine="719"/>
        <w:jc w:val="both"/>
        <w:rPr>
          <w:sz w:val="24"/>
        </w:rPr>
      </w:pPr>
      <w:r>
        <w:rPr>
          <w:i/>
          <w:sz w:val="22"/>
          <w:u w:val="single"/>
        </w:rPr>
        <w:t>Short Sales</w:t>
      </w:r>
      <w:r>
        <w:rPr>
          <w:i/>
          <w:sz w:val="22"/>
        </w:rPr>
        <w:t xml:space="preserve">. </w:t>
      </w:r>
      <w:r>
        <w:rPr>
          <w:sz w:val="22"/>
        </w:rPr>
        <w:t>Section 16(c) of the Securities Exchange Act of 1934 (the “</w:t>
      </w:r>
      <w:r>
        <w:rPr>
          <w:sz w:val="22"/>
          <w:u w:val="single"/>
        </w:rPr>
        <w:t>Exchange Act</w:t>
      </w:r>
      <w:r>
        <w:rPr>
          <w:sz w:val="24"/>
        </w:rPr>
        <w:t>”</w:t>
      </w:r>
      <w:r>
        <w:rPr>
          <w:sz w:val="22"/>
        </w:rPr>
        <w:t xml:space="preserve">) prohibits officers and directors from engaging in short sales. In addition, short sales of Company Securities </w:t>
      </w:r>
      <w:r>
        <w:rPr>
          <w:i/>
          <w:sz w:val="22"/>
        </w:rPr>
        <w:t xml:space="preserve">(i.e., </w:t>
      </w:r>
      <w:r>
        <w:rPr>
          <w:sz w:val="22"/>
        </w:rPr>
        <w:t>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(Short sales arising from certain types of hedging transactions are governed by the paragraph below captioned “Hedging Transactions.”)</w:t>
      </w:r>
      <w:r>
        <w:rPr>
          <w:sz w:val="24"/>
        </w:rPr>
        <w:t xml:space="preserve"> </w:t>
      </w:r>
    </w:p>
    <w:p>
      <w:pPr>
        <w:pStyle w:val="TextBody"/>
        <w:bidi w:val="0"/>
        <w:spacing w:before="240" w:after="283"/>
        <w:ind w:left="0" w:right="0" w:firstLine="719"/>
        <w:jc w:val="both"/>
        <w:rPr>
          <w:sz w:val="24"/>
        </w:rPr>
      </w:pPr>
      <w:r>
        <w:rPr>
          <w:i/>
          <w:sz w:val="22"/>
          <w:u w:val="single"/>
        </w:rPr>
        <w:t>Publicly-Traded Options</w:t>
      </w:r>
      <w:r>
        <w:rPr>
          <w:i/>
          <w:sz w:val="22"/>
        </w:rPr>
        <w:t xml:space="preserve">. </w:t>
      </w:r>
      <w:r>
        <w:rPr>
          <w:sz w:val="22"/>
        </w:rPr>
        <w:t>Given the relatively short term nature of publicly-traded options, transactions in options may create the appearance that a person subject to this Policy is trading based on Material Nonpublic Information and focus a director’s or officer’s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r>
        <w:rPr>
          <w:sz w:val="24"/>
        </w:rPr>
        <w:t xml:space="preserve"> </w:t>
      </w:r>
    </w:p>
    <w:p>
      <w:pPr>
        <w:pStyle w:val="TextBody"/>
        <w:bidi w:val="0"/>
        <w:spacing w:before="241" w:after="283"/>
        <w:ind w:left="0" w:right="0" w:firstLine="719"/>
        <w:jc w:val="both"/>
        <w:rPr>
          <w:sz w:val="24"/>
        </w:rPr>
      </w:pPr>
      <w:r>
        <w:rPr>
          <w:i/>
          <w:sz w:val="22"/>
          <w:u w:val="single"/>
        </w:rPr>
        <w:t>Hedging Transactions</w:t>
      </w:r>
      <w:r>
        <w:rPr>
          <w:i/>
          <w:sz w:val="22"/>
        </w:rPr>
        <w:t xml:space="preserve">. </w:t>
      </w:r>
      <w:r>
        <w:rPr>
          <w:sz w:val="22"/>
        </w:rPr>
        <w:t>Hedging or monetization transactions can be accomplished through a number of possible mechanisms, including through the use of financial instruments such as prepaid variable forwards, equity swaps, collars and exchange-traded funds. Such hedging transactions may permit a person subject to this Policy to continue to own Company Securities obtained through employee benefit plans or otherwise, but without the full risks and rewards of ownership. When that occurs, the person subject to this Policy may no longer have the same objectives as the Company’s other shareholders. Therefore, persons subject to this Policy are prohibited from engaging in any such transactions.</w:t>
      </w:r>
      <w:r>
        <w:rPr>
          <w:sz w:val="24"/>
        </w:rPr>
        <w:t xml:space="preserve"> </w:t>
      </w:r>
    </w:p>
    <w:p>
      <w:pPr>
        <w:pStyle w:val="TextBody"/>
        <w:bidi w:val="0"/>
        <w:spacing w:before="240" w:after="283"/>
        <w:ind w:left="0" w:right="0" w:firstLine="719"/>
        <w:jc w:val="both"/>
        <w:rPr>
          <w:sz w:val="24"/>
        </w:rPr>
      </w:pPr>
      <w:r>
        <w:rPr>
          <w:i/>
          <w:sz w:val="22"/>
          <w:u w:val="single"/>
        </w:rPr>
        <w:t>Margin Accounts and Pledged Securities</w:t>
      </w:r>
      <w:r>
        <w:rPr>
          <w:i/>
          <w:sz w:val="22"/>
        </w:rPr>
        <w:t xml:space="preserve">. </w:t>
      </w:r>
      <w:r>
        <w:rPr>
          <w:sz w:val="22"/>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persons subject to this Policy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r>
        <w:rPr>
          <w:sz w:val="24"/>
        </w:rPr>
        <w:t xml:space="preserve"> </w:t>
      </w:r>
    </w:p>
    <w:p>
      <w:pPr>
        <w:pStyle w:val="TextBody"/>
        <w:bidi w:val="0"/>
        <w:spacing w:before="241" w:after="283"/>
        <w:ind w:left="0" w:right="0" w:firstLine="719"/>
        <w:jc w:val="both"/>
        <w:rPr>
          <w:sz w:val="24"/>
        </w:rPr>
      </w:pPr>
      <w:r>
        <w:rPr>
          <w:i/>
          <w:sz w:val="22"/>
          <w:u w:val="single"/>
        </w:rPr>
        <w:t>Standing and Limit Orders</w:t>
      </w:r>
      <w:r>
        <w:rPr>
          <w:i/>
          <w:sz w:val="22"/>
        </w:rPr>
        <w:t xml:space="preserve">. </w:t>
      </w:r>
      <w:r>
        <w:rPr>
          <w:sz w:val="22"/>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w:t>
      </w:r>
      <w:r>
        <w:rPr>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79" w:after="283"/>
        <w:jc w:val="both"/>
        <w:rPr>
          <w:b/>
          <w:sz w:val="24"/>
        </w:rPr>
      </w:pPr>
      <w:r>
        <w:rPr>
          <w:b/>
          <w:sz w:val="22"/>
        </w:rPr>
        <w:t>Administration of the Policy</w:t>
      </w:r>
      <w:r>
        <w:rPr>
          <w:b/>
          <w:sz w:val="24"/>
        </w:rPr>
        <w:t xml:space="preserve"> </w:t>
      </w:r>
    </w:p>
    <w:p>
      <w:pPr>
        <w:pStyle w:val="TextBody"/>
        <w:bidi w:val="0"/>
        <w:spacing w:before="240" w:after="283"/>
        <w:jc w:val="both"/>
        <w:rPr>
          <w:sz w:val="24"/>
        </w:rPr>
      </w:pPr>
      <w:r>
        <w:rPr>
          <w:sz w:val="22"/>
        </w:rPr>
        <w:t>The Company’s General Counsel, and in his/her absence, the Company’s Chief Financial Officer or another employee designated by the General Counsel, shall be responsible for administration of this Policy. All determinations and interpretations by the Company’s General Counsel, Chief Financial Officer or such designee shall be final and not subject to further review.</w:t>
      </w:r>
      <w:r>
        <w:rPr>
          <w:sz w:val="24"/>
        </w:rPr>
        <w:t xml:space="preserve"> </w:t>
      </w:r>
    </w:p>
    <w:p>
      <w:pPr>
        <w:pStyle w:val="TextBody"/>
        <w:bidi w:val="0"/>
        <w:spacing w:before="240" w:after="283"/>
        <w:jc w:val="both"/>
        <w:rPr>
          <w:b/>
          <w:sz w:val="24"/>
        </w:rPr>
      </w:pPr>
      <w:r>
        <w:rPr>
          <w:b/>
          <w:sz w:val="22"/>
        </w:rPr>
        <w:t>Additional Procedures</w:t>
      </w:r>
      <w:r>
        <w:rPr>
          <w:b/>
          <w:sz w:val="24"/>
        </w:rPr>
        <w:t xml:space="preserve"> </w:t>
      </w:r>
    </w:p>
    <w:p>
      <w:pPr>
        <w:pStyle w:val="TextBody"/>
        <w:bidi w:val="0"/>
        <w:spacing w:before="240" w:after="283"/>
        <w:jc w:val="both"/>
        <w:rPr>
          <w:sz w:val="24"/>
        </w:rPr>
      </w:pPr>
      <w:r>
        <w:rPr>
          <w:sz w:val="22"/>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r>
        <w:rPr>
          <w:sz w:val="24"/>
        </w:rPr>
        <w:t xml:space="preserve"> </w:t>
      </w:r>
    </w:p>
    <w:p>
      <w:pPr>
        <w:pStyle w:val="TextBody"/>
        <w:bidi w:val="0"/>
        <w:spacing w:before="241" w:after="283"/>
        <w:ind w:left="0" w:right="0" w:firstLine="719"/>
        <w:jc w:val="both"/>
        <w:rPr>
          <w:sz w:val="24"/>
        </w:rPr>
      </w:pPr>
      <w:r>
        <w:rPr>
          <w:i/>
          <w:sz w:val="22"/>
          <w:u w:val="single"/>
        </w:rPr>
        <w:t>Pre-Clearance Procedures</w:t>
      </w:r>
      <w:r>
        <w:rPr>
          <w:i/>
          <w:sz w:val="22"/>
        </w:rPr>
        <w:t xml:space="preserve">. </w:t>
      </w:r>
      <w:r>
        <w:rPr>
          <w:sz w:val="22"/>
        </w:rPr>
        <w:t>Officers, directors and other persons designated by the General Counsel as being subject to these procedures, as well as the Family Members and Controlled Entities of such persons, may not engage in any transaction in Company Securities without first obtaining pre-clearance of the transaction from the General Counsel. A request for pre-clearance should be submitted to the General Counsel in writing at least two (2) business days in advance of the proposed transaction. The General Counsel is under no obligation to approve a transaction submitted for preclearance and may determine not to permit the transaction. If a person seeks pre-clearance and permission to engage in the transaction is denied, then they should refrain from initiating any transaction in Company Securities and should not inform any other person of the denial. If permission to trade is given, the trade must be effected within five (5) business days unless otherwise agreed by the General Counsel. For the avoidance of doubt, a lack of response from the General Counsel shall never be deemed to be a preclearance permitting the proposed transaction; only a response approving such proposed transaction shall constitute a pre-clearance.</w:t>
      </w:r>
      <w:r>
        <w:rPr>
          <w:sz w:val="24"/>
        </w:rPr>
        <w:t xml:space="preserve"> </w:t>
      </w:r>
    </w:p>
    <w:p>
      <w:pPr>
        <w:pStyle w:val="TextBody"/>
        <w:bidi w:val="0"/>
        <w:spacing w:before="241" w:after="283"/>
        <w:ind w:left="0" w:right="0" w:firstLine="719"/>
        <w:jc w:val="both"/>
        <w:rPr>
          <w:sz w:val="24"/>
        </w:rPr>
      </w:pPr>
      <w:r>
        <w:rPr>
          <w:sz w:val="22"/>
        </w:rPr>
        <w:t>When a request for pre-clearance is made, the requestor should carefully consider whether they may be aware of any Material Nonpublic Information about the Company and should describe fully those circumstances to the General Counsel. The requestor should also indicate whether they have effected any non-exempt “opposite-way” transactions within the past six (6) months, and should be prepared to report the proposed transaction on an appropriate Form 4 or Form 5. The requestor should also be prepared to comply with SEC Rule 144 and file Form 144, if necessary, at the time of any sale. It is important not to confuse pre-clearance of transactions with the broader prohibition on trading when you are in possession of Material Nonpublic Information. Regardless of whether you have received pre-clearance for a transaction or whether a trading window is open or closed, you may not trade in Company Securities if you are in actual possession of Material Nonpublic Information about the Company.</w:t>
      </w:r>
      <w:r>
        <w:rPr>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41" w:after="283"/>
        <w:ind w:left="0" w:right="0" w:firstLine="719"/>
        <w:jc w:val="both"/>
        <w:rPr>
          <w:sz w:val="24"/>
        </w:rPr>
      </w:pPr>
      <w:r>
        <w:rPr>
          <w:i/>
          <w:sz w:val="22"/>
          <w:u w:val="single"/>
        </w:rPr>
        <w:t>Quarterly Trading Restrictions</w:t>
      </w:r>
      <w:r>
        <w:rPr>
          <w:i/>
          <w:sz w:val="22"/>
        </w:rPr>
        <w:t xml:space="preserve">. </w:t>
      </w:r>
      <w:r>
        <w:rPr>
          <w:sz w:val="22"/>
        </w:rPr>
        <w:t>Officers, directors or any other person designated by the General Counsel as subject to this restriction, as well as their Family Members or Controlled Entities (collectively, “</w:t>
      </w:r>
      <w:r>
        <w:rPr>
          <w:sz w:val="22"/>
          <w:u w:val="single"/>
        </w:rPr>
        <w:t>Insiders</w:t>
      </w:r>
      <w:r>
        <w:rPr>
          <w:sz w:val="24"/>
        </w:rPr>
        <w:t>”</w:t>
      </w:r>
      <w:r>
        <w:rPr>
          <w:sz w:val="22"/>
        </w:rPr>
        <w:t>), may only conduct transactions in Company Securities during the “</w:t>
      </w:r>
      <w:r>
        <w:rPr>
          <w:sz w:val="22"/>
          <w:u w:val="single"/>
        </w:rPr>
        <w:t>Window Period</w:t>
      </w:r>
      <w:r>
        <w:rPr>
          <w:sz w:val="24"/>
        </w:rPr>
        <w:t xml:space="preserve">” </w:t>
      </w:r>
      <w:r>
        <w:rPr>
          <w:sz w:val="22"/>
        </w:rPr>
        <w:t>that (i) begins on the second business morning following the first public release of quarterly or year-end earnings by the Company, and (ii) ends at the end of the day on the ninth day of the last month of the applicable fiscal quarter. For example, if the Company releases earnings at any time on a Wednesday, a Window Period will open on the following Friday morning. A “</w:t>
      </w:r>
      <w:r>
        <w:rPr>
          <w:sz w:val="22"/>
          <w:u w:val="single"/>
        </w:rPr>
        <w:t>No-Trade</w:t>
      </w:r>
      <w:r>
        <w:rPr>
          <w:sz w:val="24"/>
        </w:rPr>
        <w:t xml:space="preserve">” </w:t>
      </w:r>
      <w:r>
        <w:rPr>
          <w:sz w:val="22"/>
        </w:rPr>
        <w:t>period will begin on each March 10, June 10, September 10 and December 10. Any period of time that is outside of a Window Period is considered to be what is sometimes called a “</w:t>
      </w:r>
      <w:r>
        <w:rPr>
          <w:sz w:val="22"/>
          <w:u w:val="single"/>
        </w:rPr>
        <w:t>Blackout Period</w:t>
      </w:r>
      <w:r>
        <w:rPr>
          <w:sz w:val="22"/>
        </w:rPr>
        <w:t>.” Insiders may not conduct any transactions involving the Company’s Securities during a Blackout Period.</w:t>
      </w:r>
      <w:r>
        <w:rPr>
          <w:sz w:val="24"/>
        </w:rPr>
        <w:t xml:space="preserve"> </w:t>
      </w:r>
    </w:p>
    <w:p>
      <w:pPr>
        <w:pStyle w:val="TextBody"/>
        <w:bidi w:val="0"/>
        <w:spacing w:before="240" w:after="283"/>
        <w:ind w:left="0" w:right="0" w:firstLine="719"/>
        <w:jc w:val="both"/>
        <w:rPr>
          <w:sz w:val="24"/>
        </w:rPr>
      </w:pPr>
      <w:r>
        <w:rPr>
          <w:sz w:val="22"/>
        </w:rPr>
        <w:t>It is important to note that, even during a Window Period, you may not trade in Company Securities if you are aware of Material Nonpublic Information about the Company. Moreover, Insiders must preclear transaction in Company Securities with the General Counsel, even if they are made during a Window Period.</w:t>
      </w:r>
      <w:r>
        <w:rPr>
          <w:sz w:val="24"/>
        </w:rPr>
        <w:t xml:space="preserve"> </w:t>
      </w:r>
    </w:p>
    <w:p>
      <w:pPr>
        <w:pStyle w:val="TextBody"/>
        <w:bidi w:val="0"/>
        <w:spacing w:before="240" w:after="283"/>
        <w:ind w:left="0" w:right="0" w:firstLine="719"/>
        <w:jc w:val="both"/>
        <w:rPr>
          <w:sz w:val="24"/>
        </w:rPr>
      </w:pPr>
      <w:r>
        <w:rPr>
          <w:i/>
          <w:sz w:val="22"/>
          <w:u w:val="single"/>
        </w:rPr>
        <w:t>Event-Specific Trading Restriction Periods</w:t>
      </w:r>
      <w:r>
        <w:rPr>
          <w:i/>
          <w:sz w:val="22"/>
        </w:rPr>
        <w:t xml:space="preserve">. </w:t>
      </w:r>
      <w:r>
        <w:rPr>
          <w:sz w:val="22"/>
        </w:rPr>
        <w:t>From time to time, an event may occur that is material to the Company and is known by only a few directors, officers and/or employees. So long as the event remains material and nonpublic, the persons designated by the General Counsel may not trade Company Securities. In addition, the Company’s financial results may be sufficiently material in a particular fiscal quarter that, in the judgment of the General Counsel, designated persons should refrain from trading in Company Securities even sooner than the typical Blackout Period described above. In that situation, the General Counsel may notify these persons that they should not trade in Company Securities, without disclosing the reason for the restriction. The existence of an event-specific trading restriction period or extension of a Blackout Period will not be announced to the Company as a whole and should not be communicated to any other person. Even if the General Counsel has not designated you as a person who should not trade due to an event-specific restriction, you should not trade while aware of Material Nonpublic Information. Exceptions will not be granted during an event-specific trading restriction period.</w:t>
      </w:r>
      <w:r>
        <w:rPr>
          <w:sz w:val="24"/>
        </w:rPr>
        <w:t xml:space="preserve"> </w:t>
      </w:r>
    </w:p>
    <w:p>
      <w:pPr>
        <w:pStyle w:val="TextBody"/>
        <w:bidi w:val="0"/>
        <w:spacing w:before="241" w:after="283"/>
        <w:jc w:val="both"/>
        <w:rPr>
          <w:b/>
          <w:sz w:val="24"/>
        </w:rPr>
      </w:pPr>
      <w:r>
        <w:rPr>
          <w:b/>
          <w:sz w:val="22"/>
        </w:rPr>
        <w:t>Rule 10b5-1 Plans</w:t>
      </w:r>
      <w:r>
        <w:rPr>
          <w:b/>
          <w:sz w:val="24"/>
        </w:rPr>
        <w:t xml:space="preserve"> </w:t>
      </w:r>
    </w:p>
    <w:p>
      <w:pPr>
        <w:pStyle w:val="TextBody"/>
        <w:bidi w:val="0"/>
        <w:spacing w:before="240" w:after="283"/>
        <w:jc w:val="both"/>
        <w:rPr>
          <w:sz w:val="24"/>
        </w:rPr>
      </w:pPr>
      <w:r>
        <w:rPr>
          <w:sz w:val="22"/>
        </w:rPr>
        <w:t>Rule 10b5-1 under the Exchange Act provides a defense from insider trading liability under Section 10(b) of the Exchange Act and Rule 10b-5. In order to be eligible to rely on this defense, a person must enter into a binding contract, give an instruction or adopt a written plan to effect transactions in Company Securities that meets the conditions specified in Rule 10b5-1(c) (a “</w:t>
      </w:r>
      <w:r>
        <w:rPr>
          <w:sz w:val="22"/>
          <w:u w:val="single"/>
        </w:rPr>
        <w:t>Rule</w:t>
      </w:r>
      <w:r>
        <w:rPr>
          <w:sz w:val="24"/>
        </w:rPr>
        <w:t> </w:t>
      </w:r>
      <w:r>
        <w:rPr>
          <w:sz w:val="22"/>
          <w:u w:val="single"/>
        </w:rPr>
        <w:t>10b5-1 Plan</w:t>
      </w:r>
      <w:r>
        <w:rPr>
          <w:sz w:val="24"/>
        </w:rPr>
        <w:t>”</w:t>
      </w:r>
      <w:r>
        <w:rPr>
          <w:sz w:val="22"/>
        </w:rPr>
        <w:t>). If the Rule 10b5-1 Plan meets the requirements of Rule 10b5-1(c) and has been approved by the General Counsel, transactions executed pursuant to the Rule 10b5-1 Plan are not subject to the requirements of this Policy. In general, a Rule 10b5-1 Plan must be entered into during a Window Period when the person entering into the Rule 10b5-1 Plan is not aware of Material Nonpublic Information. Once the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delegate discretion on these matters to an independent third party.</w:t>
      </w:r>
      <w:r>
        <w:rPr>
          <w:sz w:val="24"/>
        </w:rPr>
        <w:t xml:space="preserve"> </w:t>
      </w:r>
    </w:p>
    <w:p>
      <w:pPr>
        <w:pStyle w:val="TextBody"/>
        <w:bidi w:val="0"/>
        <w:spacing w:before="0" w:after="0"/>
        <w:ind w:left="0" w:right="360" w:hanging="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8</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42" w:after="283"/>
        <w:jc w:val="both"/>
        <w:rPr>
          <w:sz w:val="24"/>
        </w:rPr>
      </w:pPr>
      <w:r>
        <w:rPr>
          <w:sz w:val="22"/>
        </w:rPr>
        <w:t>Any Rule 10b5-1 Plan must be submitted for approval five (5) days prior to the entry into the Rule 10b5-1 Plan. For the avoidance of doubt, a lack of response from the General Counsel shall never be deemed to be an approval of a Rule 10b5-1 Plan; only a response approving such proposed Rule 10b5-1 Plan shall constitute approval.</w:t>
      </w:r>
      <w:r>
        <w:rPr>
          <w:sz w:val="24"/>
        </w:rPr>
        <w:t xml:space="preserve"> </w:t>
      </w:r>
    </w:p>
    <w:p>
      <w:pPr>
        <w:pStyle w:val="TextBody"/>
        <w:bidi w:val="0"/>
        <w:spacing w:before="240" w:after="283"/>
        <w:jc w:val="both"/>
        <w:rPr>
          <w:b/>
          <w:sz w:val="24"/>
        </w:rPr>
      </w:pPr>
      <w:r>
        <w:rPr>
          <w:b/>
          <w:sz w:val="22"/>
        </w:rPr>
        <w:t>Regulation Blackout Trading Restriction</w:t>
      </w:r>
      <w:r>
        <w:rPr>
          <w:b/>
          <w:sz w:val="24"/>
        </w:rPr>
        <w:t xml:space="preserve"> </w:t>
      </w:r>
    </w:p>
    <w:p>
      <w:pPr>
        <w:pStyle w:val="TextBody"/>
        <w:bidi w:val="0"/>
        <w:spacing w:before="135" w:after="283"/>
        <w:jc w:val="both"/>
        <w:rPr>
          <w:sz w:val="24"/>
        </w:rPr>
      </w:pPr>
      <w:r>
        <w:rPr>
          <w:sz w:val="22"/>
        </w:rPr>
        <w:t>Directors and Section 16 officers may be subject to trading blackouts pursuant to Regulation Blackout Trading Restriction (“</w:t>
      </w:r>
      <w:r>
        <w:rPr>
          <w:sz w:val="22"/>
          <w:u w:val="single"/>
        </w:rPr>
        <w:t>Regulation BTR</w:t>
      </w:r>
      <w:r>
        <w:rPr>
          <w:sz w:val="24"/>
        </w:rPr>
        <w:t>”</w:t>
      </w:r>
      <w:r>
        <w:rPr>
          <w:sz w:val="22"/>
        </w:rPr>
        <w:t>) under the federal securities laws. In general, and with certain limited exemptions, Regulation BTR prohibits any director or Section 16 officer from engaging in certain transactions involving Company Securities during periods when participants are prevented from purchasing, selling or otherwise acquiring or transferring an interest in certain securities held in individual account plans. Regulation BTR encompasses a variety of pension plans, including Section 401(k) plans, profit-sharing and savings plans, stock bonus plans and money purchase pension plans. Any profits realized from a transaction that violates Regulation BTR are recoverable by the Company, regardless of the intentions of the director or Section 16 officer effecting the transaction. In addition, individuals who engage in such transactions are subject to sanction by the SEC, as well as potential criminal liability. The Company will notify directors and Section 16 officers if they are subject to a blackout trading restriction under Regulation BTR. Failure to comply with an applicable trading blackout in accordance with Regulation BTR is a violation of law and this Policy.</w:t>
      </w:r>
      <w:r>
        <w:rPr>
          <w:sz w:val="24"/>
        </w:rPr>
        <w:t xml:space="preserve"> </w:t>
      </w:r>
    </w:p>
    <w:p>
      <w:pPr>
        <w:pStyle w:val="TextBody"/>
        <w:bidi w:val="0"/>
        <w:spacing w:before="241" w:after="283"/>
        <w:jc w:val="both"/>
        <w:rPr>
          <w:b/>
          <w:sz w:val="24"/>
        </w:rPr>
      </w:pPr>
      <w:r>
        <w:rPr>
          <w:b/>
          <w:sz w:val="22"/>
        </w:rPr>
        <w:t>Post-Termination Transactions</w:t>
      </w:r>
      <w:r>
        <w:rPr>
          <w:b/>
          <w:sz w:val="24"/>
        </w:rPr>
        <w:t xml:space="preserve"> </w:t>
      </w:r>
    </w:p>
    <w:p>
      <w:pPr>
        <w:pStyle w:val="TextBody"/>
        <w:bidi w:val="0"/>
        <w:spacing w:before="240" w:after="283"/>
        <w:jc w:val="both"/>
        <w:rPr>
          <w:sz w:val="24"/>
        </w:rPr>
      </w:pPr>
      <w:r>
        <w:rPr>
          <w:sz w:val="22"/>
        </w:rPr>
        <w:t>This Policy continues to apply to transactions in Company Securities even after a person’s termination of service to the Company. If individuals are in possession of Material Nonpublic Information when their service terminates, they may not trade in Company Securities until that information has become public or is no longer material.</w:t>
      </w:r>
      <w:r>
        <w:rPr>
          <w:sz w:val="24"/>
        </w:rPr>
        <w:t xml:space="preserve"> </w:t>
      </w:r>
    </w:p>
    <w:p>
      <w:pPr>
        <w:pStyle w:val="TextBody"/>
        <w:bidi w:val="0"/>
        <w:spacing w:before="240" w:after="283"/>
        <w:jc w:val="both"/>
        <w:rPr>
          <w:b/>
          <w:sz w:val="24"/>
        </w:rPr>
      </w:pPr>
      <w:r>
        <w:rPr>
          <w:b/>
          <w:sz w:val="22"/>
        </w:rPr>
        <w:t>Consequences of Violations</w:t>
      </w:r>
      <w:r>
        <w:rPr>
          <w:b/>
          <w:sz w:val="24"/>
        </w:rPr>
        <w:t xml:space="preserve"> </w:t>
      </w:r>
    </w:p>
    <w:p>
      <w:pPr>
        <w:pStyle w:val="TextBody"/>
        <w:bidi w:val="0"/>
        <w:spacing w:before="240" w:after="283"/>
        <w:jc w:val="both"/>
        <w:rPr>
          <w:sz w:val="24"/>
        </w:rPr>
      </w:pPr>
      <w:r>
        <w:rPr>
          <w:sz w:val="22"/>
        </w:rPr>
        <w:t>The purchase or sale of securities while aware of Material Nonpublic Information, or the disclosure of Material Nonpublic Information to others who then trade in Company Securities, is prohibited by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r>
        <w:rPr>
          <w:sz w:val="24"/>
        </w:rPr>
        <w:t xml:space="preserve"> </w:t>
      </w:r>
    </w:p>
    <w:p>
      <w:pPr>
        <w:pStyle w:val="TextBody"/>
        <w:bidi w:val="0"/>
        <w:spacing w:before="241" w:after="283"/>
        <w:jc w:val="both"/>
        <w:rPr>
          <w:sz w:val="24"/>
        </w:rPr>
      </w:pPr>
      <w:r>
        <w:rPr>
          <w:sz w:val="22"/>
        </w:rPr>
        <w:t>In addition, an individual’s failure to comply with this Policy may subject the individual to Company-imposed sanctions, including dismissal for cause, whether or not the individual’s failure to comply results in a violation of law. A violation of law, or even an SEC investigation that does not result in prosecution, can tarnish a person’s reputation and irreparably damage a career.</w:t>
      </w:r>
      <w:r>
        <w:rPr>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41" w:after="283"/>
        <w:jc w:val="both"/>
        <w:rPr/>
      </w:pPr>
      <w:r>
        <w:rPr>
          <w:b/>
        </w:rPr>
        <w:t>Company Assistance</w:t>
      </w:r>
      <w:r>
        <w:rPr/>
        <w:t xml:space="preserve"> </w:t>
      </w:r>
    </w:p>
    <w:p>
      <w:pPr>
        <w:pStyle w:val="TextBody"/>
        <w:bidi w:val="0"/>
        <w:spacing w:before="240" w:after="283"/>
        <w:jc w:val="both"/>
        <w:rPr>
          <w:sz w:val="24"/>
        </w:rPr>
      </w:pPr>
      <w:r>
        <w:rPr>
          <w:sz w:val="22"/>
        </w:rPr>
        <w:t>Any person who has a question about this Policy or its application to any proposed transaction may obtain additional guidance from the General Counsel, who can be reached by telephone at +01 717-659-0628 or by e-mail at generalcounsel@magnera.com.</w:t>
      </w:r>
      <w:r>
        <w:rPr>
          <w:sz w:val="24"/>
        </w:rPr>
        <w:t xml:space="preserve"> </w:t>
      </w:r>
    </w:p>
    <w:p>
      <w:pPr>
        <w:pStyle w:val="TextBody"/>
        <w:bidi w:val="0"/>
        <w:spacing w:before="240" w:after="283"/>
        <w:jc w:val="left"/>
        <w:rPr>
          <w:b/>
          <w:sz w:val="24"/>
        </w:rPr>
      </w:pPr>
      <w:r>
        <w:rPr>
          <w:b/>
          <w:sz w:val="22"/>
        </w:rPr>
        <w:t>Certification</w:t>
      </w:r>
      <w:r>
        <w:rPr>
          <w:b/>
          <w:sz w:val="24"/>
        </w:rPr>
        <w:t xml:space="preserve"> </w:t>
      </w:r>
    </w:p>
    <w:p>
      <w:pPr>
        <w:pStyle w:val="TextBody"/>
        <w:bidi w:val="0"/>
        <w:spacing w:before="79" w:after="283"/>
        <w:jc w:val="both"/>
        <w:rPr>
          <w:sz w:val="24"/>
        </w:rPr>
      </w:pPr>
      <w:r>
        <w:rPr>
          <w:sz w:val="22"/>
        </w:rPr>
        <w:t>All persons subject to this Policy must certify their understanding of, and intent to comply with, this Policy by signing and returning the Certification on the following page to the designee of the General Counsel.</w:t>
      </w:r>
      <w:r>
        <w:rPr>
          <w:sz w:val="24"/>
        </w:rPr>
        <w:t xml:space="preserve"> </w:t>
      </w:r>
    </w:p>
    <w:p>
      <w:pPr>
        <w:pStyle w:val="TextBody"/>
        <w:bidi w:val="0"/>
        <w:spacing w:before="240" w:after="283"/>
        <w:jc w:val="both"/>
        <w:rPr/>
      </w:pPr>
      <w:r>
        <w:rPr>
          <w:i/>
        </w:rPr>
        <w:t>Approved by the Board of Directors on December 12, 2013; amended on September 22, 2023 and November 4, 2024.</w:t>
      </w:r>
      <w:r>
        <w:rPr/>
        <w:t xml:space="preserve">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10</w:t>
      </w:r>
    </w:p>
    <w:p>
      <w:pPr>
        <w:pStyle w:val="HorizontalLine"/>
        <w:bidi w:val="0"/>
        <w:spacing w:before="0" w:after="0"/>
        <w:jc w:val="left"/>
        <w:rPr/>
      </w:pPr>
      <w:r>
        <w:rPr/>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HorizontalLine"/>
        <w:bidi w:val="0"/>
        <w:jc w:val="left"/>
        <w:rPr/>
      </w:pPr>
      <w:r>
        <w:rPr/>
      </w:r>
      <w:bookmarkStart w:id="39" w:name="exhibit21-1.htm"/>
      <w:bookmarkStart w:id="40" w:name="ksexhibit211"/>
      <w:bookmarkStart w:id="41" w:name="exhibit21-1.htm"/>
      <w:bookmarkStart w:id="42" w:name="ksexhibit211"/>
      <w:bookmarkEnd w:id="41"/>
      <w:bookmarkEnd w:id="42"/>
      <w:r>
        <w:br w:type="page"/>
      </w:r>
    </w:p>
    <w:p>
      <w:pPr>
        <w:pStyle w:val="TextBody"/>
        <w:bidi w:val="0"/>
        <w:spacing w:before="0" w:after="160"/>
        <w:jc w:val="right"/>
        <w:rPr>
          <w:b/>
          <w:sz w:val="20"/>
        </w:rPr>
      </w:pPr>
      <w:r>
        <w:rPr>
          <w:b/>
          <w:sz w:val="20"/>
        </w:rPr>
        <w:t>Exhibit 21.1</w:t>
      </w:r>
    </w:p>
    <w:p>
      <w:pPr>
        <w:pStyle w:val="TextBody"/>
        <w:bidi w:val="0"/>
        <w:spacing w:before="0" w:after="160"/>
        <w:jc w:val="center"/>
        <w:rPr/>
      </w:pPr>
      <w:r>
        <w:rPr/>
        <w:t> </w:t>
      </w:r>
    </w:p>
    <w:p>
      <w:pPr>
        <w:pStyle w:val="TextBody"/>
        <w:bidi w:val="0"/>
        <w:spacing w:before="0" w:after="160"/>
        <w:jc w:val="center"/>
        <w:rPr/>
      </w:pPr>
      <w:r>
        <w:rPr>
          <w:rFonts w:ascii="Times New Roman" w:hAnsi="Times New Roman"/>
          <w:b/>
          <w:sz w:val="20"/>
        </w:rPr>
        <w:t>MAGNERA CORPORATION</w:t>
      </w:r>
      <w:r>
        <w:rPr/>
        <w:t xml:space="preserve"> </w:t>
      </w:r>
    </w:p>
    <w:p>
      <w:pPr>
        <w:pStyle w:val="TextBody"/>
        <w:bidi w:val="0"/>
        <w:spacing w:before="0" w:after="160"/>
        <w:jc w:val="center"/>
        <w:rPr/>
      </w:pPr>
      <w:r>
        <w:rPr>
          <w:rFonts w:ascii="Times New Roman" w:hAnsi="Times New Roman"/>
          <w:b/>
          <w:sz w:val="20"/>
        </w:rPr>
        <w:t>LIST OF SUBSIDIARIES</w:t>
      </w:r>
      <w:r>
        <w:rPr/>
        <w:t xml:space="preserve"> </w:t>
      </w:r>
    </w:p>
    <w:p>
      <w:pPr>
        <w:pStyle w:val="TextBody"/>
        <w:bidi w:val="0"/>
        <w:spacing w:before="0" w:after="160"/>
        <w:jc w:val="center"/>
        <w:rPr/>
      </w:pPr>
      <w:r>
        <w:rPr/>
        <w:t xml:space="preserve">  </w:t>
      </w:r>
    </w:p>
    <w:tbl>
      <w:tblPr>
        <w:tblW w:w="9602" w:type="dxa"/>
        <w:jc w:val="left"/>
        <w:tblInd w:w="0" w:type="dxa"/>
        <w:tblLayout w:type="fixed"/>
        <w:tblCellMar>
          <w:top w:w="28" w:type="dxa"/>
          <w:left w:w="28" w:type="dxa"/>
          <w:bottom w:w="28" w:type="dxa"/>
          <w:right w:w="28" w:type="dxa"/>
        </w:tblCellMar>
      </w:tblPr>
      <w:tblGrid>
        <w:gridCol w:w="4501"/>
        <w:gridCol w:w="5101"/>
      </w:tblGrid>
      <w:tr>
        <w:trPr/>
        <w:tc>
          <w:tcPr>
            <w:tcW w:w="4501" w:type="dxa"/>
            <w:tcBorders/>
            <w:vAlign w:val="center"/>
          </w:tcPr>
          <w:p>
            <w:pPr>
              <w:pStyle w:val="TableContents"/>
              <w:bidi w:val="0"/>
              <w:spacing w:before="0" w:after="283"/>
              <w:jc w:val="left"/>
              <w:rPr/>
            </w:pPr>
            <w:r>
              <w:rPr/>
              <w:t> </w:t>
            </w:r>
          </w:p>
        </w:tc>
        <w:tc>
          <w:tcPr>
            <w:tcW w:w="5101" w:type="dxa"/>
            <w:tcBorders/>
            <w:vAlign w:val="center"/>
          </w:tcPr>
          <w:p>
            <w:pPr>
              <w:pStyle w:val="TableContents"/>
              <w:bidi w:val="0"/>
              <w:spacing w:before="0" w:after="283"/>
              <w:jc w:val="left"/>
              <w:rPr/>
            </w:pPr>
            <w:r>
              <w:rPr/>
              <w:t>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AVINTIV Acquisition LLC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Scaër SAS</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AVINTIV, Inc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Glatfelter Services GmbH</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AVINTIV Specialty Materials LLC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Sontara Argentina S.R.L.</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Balo-I Industrial, Inc.</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Glatfelter Sontara Asturias S.A.U</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Bonlam SA de CV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Sontara Japan G.K.</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Chicopee Asia Limited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Glatfelter Sontara Korea Co., Ltd.</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Chicopee Holdings BV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Sontara Mexico S.A. de C.V</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Chicopee Holdings CV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Glatfelter Sontara Nonwovens (Shanghai) Co., Ltd.</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Chicopee LLC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Sontara Old Hickory, Inc.</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Companhia Providencia Industria e Comercio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Glatfelter Sontara South Asia Sdn. Bhd  </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Dominion Textile (USA) LLC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Sontara Switzerland AG</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Dounor SAS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Glatfelter Steinfurt GmbH</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Fabrene, Inc.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Switzerland GmbH</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Fabrene, LLC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GW Partners, LLC</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Fiberweb Berlin GmbH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HHS France Holdings SAS </w:t>
            </w:r>
          </w:p>
        </w:tc>
      </w:tr>
      <w:tr>
        <w:trPr/>
        <w:tc>
          <w:tcPr>
            <w:tcW w:w="45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Fiberweb France SAS </w:t>
            </w:r>
          </w:p>
        </w:tc>
        <w:tc>
          <w:tcPr>
            <w:tcW w:w="51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HHS German Holdings GmbH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Fiberweb Geosynthetics Limited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Magnera Acquisition Company do Brasil Ltda </w:t>
            </w:r>
          </w:p>
        </w:tc>
      </w:tr>
      <w:tr>
        <w:trPr/>
        <w:tc>
          <w:tcPr>
            <w:tcW w:w="45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Fiberweb Holdings Limited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Magnera Aschersleben GmbH</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Fiberweb Italia SRL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Magnera do Brasil Ltda</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Fiberweb Limited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Magnera Dombühl GmbH</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Fiberweb LLC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Magnera Europe GmbH</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Fiberweb Terno D'Isola SRL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Magnera Film Products Acquisition Company, Inc.</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Advanced Materials N.A., LLC</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Magnera Film Products Company, Inc.</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Berlin GmbH</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Magnera Holding Company do Brasil Ltda</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Caerphilly Ltd.</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Nanhai Nanxin Non Woven Company Limited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Composite Fibers NA, Inc.</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Newtech Pulp, Inc.</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Denmark A/S</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Old Hickory Steamworks LLC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Digital Solutions, LLC</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PGI Acquisition Limited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Dresden GmbH</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PGI Argentina SA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Falkenhagen GmbH</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PGI Colombia Ltda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Gatineau Ltée</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PGI Europe LLC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Gernsbach GmbH</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PGI France SAS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Holding (Denmark) A/S</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PGI Holdings BV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Holding (Luxembourg) AG</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PGI Netherlands Holdings (No 2) BV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Holding (Switzerland) AG</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PGI Nonwoven (China) Company Limited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Holdings, LLC</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PGI Nonwovens (Mauritius)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Industries (France) SAS</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PGI Nonwovens BV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Industries Asheville, Inc.</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PGI Polymer LLC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Italia SRL</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PGI Spain SLU</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Luxembourg Sàrl</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PHG Tea Leaves, Inc.</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Luxembourg Services Sàrl</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Polymer Group Holdings CV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Lydney, Ltd.</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Providencia USA Inc</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Malta Limited</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Rafypak SA de CV</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Mexico S.A. de C.V.</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SCI du Vertuquet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Mt. Holly LLC</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Terram Defencell Limited</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pPr>
            <w:r>
              <w:rPr>
                <w:color w:val="000000"/>
              </w:rPr>
              <w:t>Glatfelter Nonwovens (Suzhou) Co., Ltd.</w:t>
            </w:r>
            <w:r>
              <w:rPr/>
              <w:t xml:space="preserve">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Terram Limited</w:t>
            </w:r>
            <w:r>
              <w:rPr/>
              <w:t xml:space="preserve"> </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Glatfelter Romania srl</w:t>
            </w:r>
            <w:r>
              <w:rPr/>
              <w:t xml:space="preserve"> </w:t>
            </w:r>
          </w:p>
        </w:tc>
        <w:tc>
          <w:tcPr>
            <w:tcW w:w="510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Treasure Merger Sub II, LLC</w:t>
            </w:r>
            <w:r>
              <w:rPr/>
              <w:t xml:space="preserve"> </w:t>
            </w:r>
          </w:p>
        </w:tc>
      </w:tr>
      <w:tr>
        <w:trPr/>
        <w:tc>
          <w:tcPr>
            <w:tcW w:w="450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Glatfelter Russia, LLC </w:t>
            </w:r>
          </w:p>
        </w:tc>
        <w:tc>
          <w:tcPr>
            <w:tcW w:w="5101" w:type="dxa"/>
            <w:tcBorders/>
            <w:tcMar>
              <w:top w:w="0" w:type="dxa"/>
              <w:left w:w="0" w:type="dxa"/>
              <w:bottom w:w="0" w:type="dxa"/>
              <w:right w:w="0" w:type="dxa"/>
            </w:tcMar>
            <w:vAlign w:val="center"/>
          </w:tcPr>
          <w:p>
            <w:pPr>
              <w:pStyle w:val="TableContents"/>
              <w:bidi w:val="0"/>
              <w:spacing w:before="0" w:after="0"/>
              <w:jc w:val="left"/>
              <w:rPr/>
            </w:pPr>
            <w:r>
              <w:rPr>
                <w:color w:val="000000"/>
              </w:rPr>
              <w:t>Tyco Acquisition Alpha LLC</w:t>
            </w:r>
            <w:r>
              <w:rPr/>
              <w:t xml:space="preserve"> </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43" w:name="exhibit22-1.htm"/>
      <w:bookmarkStart w:id="44" w:name="ksexhibit221"/>
      <w:bookmarkStart w:id="45" w:name="exhibit22-1.htm"/>
      <w:bookmarkStart w:id="46" w:name="ksexhibit221"/>
      <w:bookmarkEnd w:id="45"/>
      <w:bookmarkEnd w:id="46"/>
      <w:r>
        <w:br w:type="page"/>
      </w:r>
    </w:p>
    <w:p>
      <w:pPr>
        <w:pStyle w:val="TextBody"/>
        <w:bidi w:val="0"/>
        <w:spacing w:before="0" w:after="0"/>
        <w:jc w:val="right"/>
        <w:rPr>
          <w:rFonts w:ascii="Times New Roman" w:hAnsi="Times New Roman"/>
          <w:b/>
        </w:rPr>
      </w:pPr>
      <w:r>
        <w:rPr>
          <w:rFonts w:ascii="Times New Roman" w:hAnsi="Times New Roman"/>
          <w:b/>
        </w:rPr>
        <w:t xml:space="preserve">Exhibit 22.1 </w:t>
      </w:r>
    </w:p>
    <w:p>
      <w:pPr>
        <w:pStyle w:val="TextBody"/>
        <w:bidi w:val="0"/>
        <w:spacing w:before="0" w:after="0"/>
        <w:jc w:val="center"/>
        <w:rPr/>
      </w:pPr>
      <w:r>
        <w:rPr>
          <w:rFonts w:ascii="Times New Roman" w:hAnsi="Times New Roman"/>
          <w:b/>
        </w:rPr>
        <w:t>LIST OF SUBSIDIARY GUARANTORS</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color w:val="000000"/>
          <w:u w:val="single"/>
        </w:rPr>
        <w:t>Guaranteed Securities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color w:val="000000"/>
        </w:rPr>
        <w:t>The following securities (collectively, the “Magnera Senior Secured Notes”) issued by the respective entities listed below were outstanding as of September 27, 2025.</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3650"/>
        <w:gridCol w:w="6555"/>
      </w:tblGrid>
      <w:tr>
        <w:trPr/>
        <w:tc>
          <w:tcPr>
            <w:tcW w:w="3650" w:type="dxa"/>
            <w:tcBorders/>
            <w:vAlign w:val="center"/>
          </w:tcPr>
          <w:p>
            <w:pPr>
              <w:pStyle w:val="TableContents"/>
              <w:bidi w:val="0"/>
              <w:spacing w:before="0" w:after="283"/>
              <w:jc w:val="left"/>
              <w:rPr>
                <w:sz w:val="4"/>
                <w:szCs w:val="4"/>
              </w:rPr>
            </w:pPr>
            <w:r>
              <w:rPr>
                <w:sz w:val="4"/>
                <w:szCs w:val="4"/>
              </w:rPr>
            </w:r>
          </w:p>
        </w:tc>
        <w:tc>
          <w:tcPr>
            <w:tcW w:w="6555" w:type="dxa"/>
            <w:tcBorders/>
            <w:vAlign w:val="center"/>
          </w:tcPr>
          <w:p>
            <w:pPr>
              <w:pStyle w:val="TableContents"/>
              <w:bidi w:val="0"/>
              <w:spacing w:before="0" w:after="283"/>
              <w:jc w:val="left"/>
              <w:rPr>
                <w:sz w:val="4"/>
                <w:szCs w:val="4"/>
              </w:rPr>
            </w:pPr>
            <w:r>
              <w:rPr>
                <w:sz w:val="4"/>
                <w:szCs w:val="4"/>
              </w:rPr>
            </w:r>
          </w:p>
        </w:tc>
      </w:tr>
      <w:tr>
        <w:trPr/>
        <w:tc>
          <w:tcPr>
            <w:tcW w:w="3650" w:type="dxa"/>
            <w:tcBorders>
              <w:top w:val="double" w:sz="6" w:space="0" w:color="000000"/>
              <w:left w:val="double" w:sz="6" w:space="0" w:color="000000"/>
              <w:bottom w:val="single" w:sz="12" w:space="0" w:color="000000"/>
              <w:right w:val="single" w:sz="12" w:space="0" w:color="000000"/>
            </w:tcBorders>
            <w:shd w:fill="B6B6B6" w:val="clear"/>
            <w:vAlign w:val="center"/>
          </w:tcPr>
          <w:p>
            <w:pPr>
              <w:pStyle w:val="TableContents"/>
              <w:bidi w:val="0"/>
              <w:spacing w:before="0" w:after="0"/>
              <w:jc w:val="center"/>
              <w:rPr/>
            </w:pPr>
            <w:r>
              <w:rPr>
                <w:color w:val="000000"/>
              </w:rPr>
              <w:t>Description of Notes</w:t>
            </w:r>
            <w:r>
              <w:rPr/>
              <w:t xml:space="preserve"> </w:t>
            </w:r>
          </w:p>
        </w:tc>
        <w:tc>
          <w:tcPr>
            <w:tcW w:w="6555" w:type="dxa"/>
            <w:tcBorders>
              <w:top w:val="double" w:sz="6" w:space="0" w:color="000000"/>
              <w:left w:val="single" w:sz="12" w:space="0" w:color="000000"/>
              <w:bottom w:val="single" w:sz="12" w:space="0" w:color="000000"/>
              <w:right w:val="double" w:sz="6" w:space="0" w:color="000000"/>
            </w:tcBorders>
            <w:shd w:fill="B6B6B6" w:val="clear"/>
            <w:vAlign w:val="center"/>
          </w:tcPr>
          <w:p>
            <w:pPr>
              <w:pStyle w:val="TableContents"/>
              <w:bidi w:val="0"/>
              <w:spacing w:before="0" w:after="0"/>
              <w:jc w:val="center"/>
              <w:rPr/>
            </w:pPr>
            <w:r>
              <w:rPr>
                <w:color w:val="000000"/>
              </w:rPr>
              <w:t>Issuer</w:t>
            </w:r>
            <w:r>
              <w:rPr/>
              <w:t xml:space="preserve"> </w:t>
            </w:r>
          </w:p>
        </w:tc>
      </w:tr>
      <w:tr>
        <w:trPr/>
        <w:tc>
          <w:tcPr>
            <w:tcW w:w="3650" w:type="dxa"/>
            <w:tcBorders>
              <w:top w:val="single" w:sz="12" w:space="0" w:color="000000"/>
              <w:left w:val="double" w:sz="6" w:space="0" w:color="000000"/>
              <w:bottom w:val="single" w:sz="12" w:space="0" w:color="000000"/>
              <w:right w:val="single" w:sz="12" w:space="0" w:color="000000"/>
            </w:tcBorders>
            <w:shd w:fill="CCEEFF" w:val="clear"/>
            <w:vAlign w:val="center"/>
          </w:tcPr>
          <w:p>
            <w:pPr>
              <w:pStyle w:val="TableContents"/>
              <w:bidi w:val="0"/>
              <w:spacing w:before="0" w:after="0"/>
              <w:jc w:val="left"/>
              <w:rPr/>
            </w:pPr>
            <w:r>
              <w:rPr>
                <w:color w:val="000000"/>
              </w:rPr>
              <w:t>7.25% First Priority Senior Secured Notes due 2031 (the “7.25% Notes”)</w:t>
            </w:r>
            <w:r>
              <w:rPr/>
              <w:t xml:space="preserve"> </w:t>
            </w:r>
          </w:p>
        </w:tc>
        <w:tc>
          <w:tcPr>
            <w:tcW w:w="6555" w:type="dxa"/>
            <w:tcBorders>
              <w:top w:val="single" w:sz="12" w:space="0" w:color="000000"/>
              <w:left w:val="single" w:sz="12" w:space="0" w:color="000000"/>
              <w:bottom w:val="single" w:sz="12" w:space="0" w:color="000000"/>
              <w:right w:val="double" w:sz="6" w:space="0" w:color="000000"/>
            </w:tcBorders>
            <w:shd w:fill="CCEEFF" w:val="clear"/>
            <w:vAlign w:val="center"/>
          </w:tcPr>
          <w:p>
            <w:pPr>
              <w:pStyle w:val="TableContents"/>
              <w:bidi w:val="0"/>
              <w:spacing w:before="0" w:after="0"/>
              <w:jc w:val="left"/>
              <w:rPr/>
            </w:pPr>
            <w:r>
              <w:rPr>
                <w:color w:val="000000"/>
              </w:rPr>
              <w:t>Treasure Merger Sub II, LLC, a Delaware limited liability company and wholly-owned subsidiary of Magnera Corp. (“Treasure Merger Sub”)</w:t>
            </w:r>
            <w:r>
              <w:rPr/>
              <w:t xml:space="preserve"> </w:t>
            </w:r>
          </w:p>
        </w:tc>
      </w:tr>
      <w:tr>
        <w:trPr/>
        <w:tc>
          <w:tcPr>
            <w:tcW w:w="3650" w:type="dxa"/>
            <w:tcBorders>
              <w:top w:val="single" w:sz="12" w:space="0" w:color="000000"/>
              <w:left w:val="double" w:sz="6" w:space="0" w:color="000000"/>
              <w:bottom w:val="double" w:sz="6" w:space="0" w:color="000000"/>
              <w:right w:val="single" w:sz="12" w:space="0" w:color="000000"/>
            </w:tcBorders>
            <w:vAlign w:val="center"/>
          </w:tcPr>
          <w:p>
            <w:pPr>
              <w:pStyle w:val="TableContents"/>
              <w:bidi w:val="0"/>
              <w:spacing w:before="0" w:after="0"/>
              <w:jc w:val="left"/>
              <w:rPr/>
            </w:pPr>
            <w:r>
              <w:rPr>
                <w:color w:val="000000"/>
              </w:rPr>
              <w:t>4.75% First Priority Senior Secured Notes due 2029 (the “4.75% Notes”)</w:t>
            </w:r>
            <w:r>
              <w:rPr/>
              <w:t xml:space="preserve"> </w:t>
            </w:r>
          </w:p>
        </w:tc>
        <w:tc>
          <w:tcPr>
            <w:tcW w:w="6555" w:type="dxa"/>
            <w:tcBorders>
              <w:top w:val="single" w:sz="12" w:space="0" w:color="000000"/>
              <w:left w:val="single" w:sz="12" w:space="0" w:color="000000"/>
              <w:bottom w:val="double" w:sz="6" w:space="0" w:color="000000"/>
              <w:right w:val="double" w:sz="6" w:space="0" w:color="000000"/>
            </w:tcBorders>
            <w:vAlign w:val="center"/>
          </w:tcPr>
          <w:p>
            <w:pPr>
              <w:pStyle w:val="TableContents"/>
              <w:bidi w:val="0"/>
              <w:spacing w:before="0" w:after="0"/>
              <w:jc w:val="left"/>
              <w:rPr/>
            </w:pPr>
            <w:r>
              <w:rPr>
                <w:color w:val="000000"/>
              </w:rPr>
              <w:t>Magnera Corp., a Pennsylvania corporation (the “Company”)</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rFonts w:ascii="Times New Roman" w:hAnsi="Times New Roman"/>
          <w:color w:val="000000"/>
          <w:u w:val="single"/>
        </w:rPr>
        <w:t>Obligors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color w:val="000000"/>
        </w:rPr>
        <w:t>As of September 27, 2025, the obligors under the Magnera Senior Secured Notes consisted of the Company, as issuer of the 4.75% Notes and as a guarantor of the 7.25% Notes, Treasure Merger Sub as issuer of the 7.25% Notes, and the Company’s subsidiaries listed in the following table:</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7104"/>
        <w:gridCol w:w="1503"/>
        <w:gridCol w:w="1598"/>
      </w:tblGrid>
      <w:tr>
        <w:trPr/>
        <w:tc>
          <w:tcPr>
            <w:tcW w:w="710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7104" w:type="dxa"/>
            <w:tcBorders>
              <w:top w:val="double" w:sz="6" w:space="0" w:color="000000"/>
              <w:left w:val="double" w:sz="6" w:space="0" w:color="000000"/>
              <w:bottom w:val="single" w:sz="12" w:space="0" w:color="000000"/>
              <w:right w:val="single" w:sz="12" w:space="0" w:color="000000"/>
            </w:tcBorders>
            <w:shd w:fill="B6B6B6" w:val="clear"/>
            <w:vAlign w:val="center"/>
          </w:tcPr>
          <w:p>
            <w:pPr>
              <w:pStyle w:val="TableContents"/>
              <w:bidi w:val="0"/>
              <w:spacing w:before="0" w:after="0"/>
              <w:jc w:val="center"/>
              <w:rPr/>
            </w:pPr>
            <w:r>
              <w:rPr>
                <w:color w:val="000000"/>
              </w:rPr>
              <w:t>Name</w:t>
            </w:r>
            <w:r>
              <w:rPr/>
              <w:t xml:space="preserve"> </w:t>
            </w:r>
          </w:p>
        </w:tc>
        <w:tc>
          <w:tcPr>
            <w:tcW w:w="1503" w:type="dxa"/>
            <w:tcBorders>
              <w:top w:val="double" w:sz="6" w:space="0" w:color="000000"/>
              <w:bottom w:val="single" w:sz="12" w:space="0" w:color="000000"/>
              <w:right w:val="single" w:sz="12" w:space="0" w:color="000000"/>
            </w:tcBorders>
            <w:shd w:fill="B6B6B6" w:val="clear"/>
            <w:tcMar>
              <w:left w:w="0" w:type="dxa"/>
            </w:tcMar>
            <w:vAlign w:val="center"/>
          </w:tcPr>
          <w:p>
            <w:pPr>
              <w:pStyle w:val="TableContents"/>
              <w:bidi w:val="0"/>
              <w:spacing w:before="0" w:after="0"/>
              <w:jc w:val="center"/>
              <w:rPr/>
            </w:pPr>
            <w:r>
              <w:rPr>
                <w:color w:val="000000"/>
              </w:rPr>
              <w:t>Jurisdiction</w:t>
            </w:r>
            <w:r>
              <w:rPr/>
              <w:t xml:space="preserve"> </w:t>
            </w:r>
          </w:p>
        </w:tc>
        <w:tc>
          <w:tcPr>
            <w:tcW w:w="1598" w:type="dxa"/>
            <w:tcBorders>
              <w:top w:val="double" w:sz="6" w:space="0" w:color="000000"/>
              <w:bottom w:val="single" w:sz="12" w:space="0" w:color="000000"/>
              <w:right w:val="double" w:sz="6" w:space="0" w:color="000000"/>
            </w:tcBorders>
            <w:shd w:fill="B6B6B6" w:val="clear"/>
            <w:tcMar>
              <w:left w:w="0" w:type="dxa"/>
            </w:tcMar>
            <w:vAlign w:val="center"/>
          </w:tcPr>
          <w:p>
            <w:pPr>
              <w:pStyle w:val="TableContents"/>
              <w:bidi w:val="0"/>
              <w:spacing w:before="0" w:after="0"/>
              <w:jc w:val="center"/>
              <w:rPr/>
            </w:pPr>
            <w:r>
              <w:rPr>
                <w:color w:val="000000"/>
              </w:rPr>
              <w:t>Obligor Type</w:t>
            </w:r>
            <w:r>
              <w:rPr/>
              <w:t xml:space="preserve"> </w:t>
            </w:r>
          </w:p>
        </w:tc>
      </w:tr>
      <w:tr>
        <w:trPr/>
        <w:tc>
          <w:tcPr>
            <w:tcW w:w="7104" w:type="dxa"/>
            <w:tcBorders>
              <w:top w:val="single" w:sz="12" w:space="0" w:color="000000"/>
              <w:left w:val="double" w:sz="6" w:space="0" w:color="000000"/>
              <w:bottom w:val="single" w:sz="12" w:space="0" w:color="000000"/>
              <w:right w:val="single" w:sz="12" w:space="0" w:color="000000"/>
            </w:tcBorders>
            <w:shd w:fill="CCEEFF" w:val="clear"/>
            <w:vAlign w:val="center"/>
          </w:tcPr>
          <w:p>
            <w:pPr>
              <w:pStyle w:val="TableContents"/>
              <w:bidi w:val="0"/>
              <w:spacing w:before="0" w:after="0"/>
              <w:jc w:val="left"/>
              <w:rPr/>
            </w:pPr>
            <w:r>
              <w:rPr>
                <w:color w:val="000000"/>
              </w:rPr>
              <w:t>AVINTIV INC.</w:t>
            </w:r>
            <w:r>
              <w:rPr/>
              <w:t xml:space="preserve"> </w:t>
            </w:r>
          </w:p>
        </w:tc>
        <w:tc>
          <w:tcPr>
            <w:tcW w:w="1503" w:type="dxa"/>
            <w:tcBorders>
              <w:top w:val="single" w:sz="12" w:space="0" w:color="000000"/>
              <w:bottom w:val="single" w:sz="12" w:space="0" w:color="000000"/>
              <w:right w:val="single" w:sz="12" w:space="0" w:color="000000"/>
            </w:tcBorders>
            <w:shd w:fill="CCEEFF" w:val="clear"/>
            <w:tcMar>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top w:val="single" w:sz="12" w:space="0" w:color="000000"/>
              <w:bottom w:val="single" w:sz="12" w:space="0" w:color="000000"/>
              <w:right w:val="double" w:sz="6" w:space="0" w:color="000000"/>
            </w:tcBorders>
            <w:shd w:fill="CCEEFF" w:val="clear"/>
            <w:tcMar>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AVINTIV Acquisition LLC</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AVINTIV Specialty Materials, LLC</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Magnera Film Products Acquisition Company, Inc. (f/k/a Berry Film Products Acquisition Company, Inc.)</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Magnera Film Products Company, Inc. (f/k/a Berry Film Products Company, Inc.)</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Chicopee, LLC</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Dominion Textile (USA), L.L.C.</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Fabrene, L.L.C.</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Fiberweb, LLC</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Glatfelter Advanced Materials N.A., LLC</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Glatfelter Composite Fibers NA, Inc.</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Glatfelter Digital Solutions, LLC</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Glatfelter Mt. Holly LLC</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Glatfelter Sontara Old Hickory, Inc.</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Old Hickory Steamworks, LLC</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PGI Europe, LLC</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PGI Polymer, LLC</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PHG Tea Leaves, Inc.</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Treasure Merger Sub II, LLC</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color w:val="000000"/>
              </w:rPr>
            </w:pPr>
            <w:r>
              <w:rPr>
                <w:color w:val="000000"/>
              </w:rPr>
              <w:t xml:space="preserve">Delaware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color w:val="000000"/>
              </w:rPr>
            </w:pPr>
            <w:r>
              <w:rPr>
                <w:color w:val="000000"/>
              </w:rPr>
              <w:t xml:space="preserve">Issuer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Magnera Aschersleben GmbH (f/k/a Berry Aschersleben GmbH)</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color w:val="000000"/>
              </w:rPr>
              <w:t>Germany</w:t>
            </w:r>
            <w:r>
              <w:rPr/>
              <w:t xml:space="preserv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Magnera Dombühl GmbH (f/k/a Berry Dombühl GmbH)</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pPr>
            <w:r>
              <w:rPr>
                <w:color w:val="000000"/>
              </w:rPr>
              <w:t>Germany</w:t>
            </w:r>
            <w:r>
              <w:rPr/>
              <w:t xml:space="preserv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Magnera Europe GmbH (f/k/a Berry Europe GmbH)</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color w:val="000000"/>
              </w:rPr>
              <w:t>Germany</w:t>
            </w:r>
            <w:r>
              <w:rPr/>
              <w:t xml:space="preserv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Fabrene, Inc.</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pPr>
            <w:r>
              <w:rPr>
                <w:color w:val="000000"/>
              </w:rPr>
              <w:t>Canada</w:t>
            </w:r>
            <w:r>
              <w:rPr/>
              <w:t xml:space="preserv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Fiberweb Berlin GmbH</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color w:val="000000"/>
              </w:rPr>
              <w:t>Germany</w:t>
            </w:r>
            <w:r>
              <w:rPr/>
              <w:t xml:space="preserv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FIBERWEB GEOSYNTHETICS LIMITED</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pPr>
            <w:r>
              <w:rPr>
                <w:color w:val="000000"/>
              </w:rPr>
              <w:t>UK</w:t>
            </w:r>
            <w:r>
              <w:rPr/>
              <w:t xml:space="preserv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Fiberweb Holdings Limited</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color w:val="000000"/>
              </w:rPr>
              <w:t>UK</w:t>
            </w:r>
            <w:r>
              <w:rPr/>
              <w:t xml:space="preserv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FIBERWEB LIMITED</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pPr>
            <w:r>
              <w:rPr>
                <w:color w:val="000000"/>
              </w:rPr>
              <w:t>UK</w:t>
            </w:r>
            <w:r>
              <w:rPr/>
              <w:t xml:space="preserv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Glatfelter Berlin GmbH</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color w:val="000000"/>
              </w:rPr>
              <w:t>Germany</w:t>
            </w:r>
            <w:r>
              <w:rPr/>
              <w:t xml:space="preserv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Glatfelter Caerphilly Limited</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pPr>
            <w:r>
              <w:rPr>
                <w:color w:val="000000"/>
              </w:rPr>
              <w:t>UK</w:t>
            </w:r>
            <w:r>
              <w:rPr/>
              <w:t xml:space="preserv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Glatfelter Dresden GmbH</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color w:val="000000"/>
              </w:rPr>
              <w:t>Germany</w:t>
            </w:r>
            <w:r>
              <w:rPr/>
              <w:t xml:space="preserv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Glatfelter Falkenhagen GmbH</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pPr>
            <w:r>
              <w:rPr>
                <w:color w:val="000000"/>
              </w:rPr>
              <w:t>Germany</w:t>
            </w:r>
            <w:r>
              <w:rPr/>
              <w:t xml:space="preserv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GLATFELTER GATINEAU LTÉE</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color w:val="000000"/>
              </w:rPr>
              <w:t>Canada</w:t>
            </w:r>
            <w:r>
              <w:rPr/>
              <w:t xml:space="preserv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Glatfelter Gernsbach GmbH</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pPr>
            <w:r>
              <w:rPr>
                <w:color w:val="000000"/>
              </w:rPr>
              <w:t>Germany</w:t>
            </w:r>
            <w:r>
              <w:rPr/>
              <w:t xml:space="preserv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Glatfelter Lydney, Ltd.</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color w:val="000000"/>
              </w:rPr>
              <w:t>UK</w:t>
            </w:r>
            <w:r>
              <w:rPr/>
              <w:t xml:space="preserv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Glatfelter Services GmbH</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pPr>
            <w:r>
              <w:rPr>
                <w:color w:val="000000"/>
              </w:rPr>
              <w:t>Germany</w:t>
            </w:r>
            <w:r>
              <w:rPr/>
              <w:t xml:space="preserv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Glatfelter Steinfurt GmbH</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color w:val="000000"/>
              </w:rPr>
              <w:t>Germany</w:t>
            </w:r>
            <w:r>
              <w:rPr/>
              <w:t xml:space="preserv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HHS German Holdings GmbH</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pPr>
            <w:r>
              <w:rPr>
                <w:color w:val="000000"/>
              </w:rPr>
              <w:t>Germany</w:t>
            </w:r>
            <w:r>
              <w:rPr/>
              <w:t xml:space="preserv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PGI ACQUISITION LIMITED</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color w:val="000000"/>
              </w:rPr>
              <w:t>UK</w:t>
            </w:r>
            <w:r>
              <w:rPr/>
              <w:t xml:space="preserve">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Terram Limited</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pPr>
            <w:r>
              <w:rPr>
                <w:color w:val="000000"/>
              </w:rPr>
              <w:t>UK</w:t>
            </w:r>
            <w:r>
              <w:rPr/>
              <w:t xml:space="preserve">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Glatfelter Industries Asheville, Inc.</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color w:val="000000"/>
              </w:rPr>
            </w:pPr>
            <w:r>
              <w:rPr>
                <w:color w:val="000000"/>
              </w:rPr>
              <w:t xml:space="preserve">North Carolina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color w:val="000000"/>
              </w:rPr>
              <w:t>Providencia USA, Inc.</w:t>
            </w:r>
            <w:r>
              <w:rPr/>
              <w:t xml:space="preserve"> </w:t>
            </w:r>
          </w:p>
        </w:tc>
        <w:tc>
          <w:tcPr>
            <w:tcW w:w="1503"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center"/>
              <w:rPr>
                <w:color w:val="000000"/>
              </w:rPr>
            </w:pPr>
            <w:r>
              <w:rPr>
                <w:color w:val="000000"/>
              </w:rPr>
              <w:t xml:space="preserve">North Carolina </w:t>
            </w:r>
          </w:p>
        </w:tc>
        <w:tc>
          <w:tcPr>
            <w:tcW w:w="1598" w:type="dxa"/>
            <w:tcBorders>
              <w:bottom w:val="single" w:sz="12" w:space="0" w:color="000000"/>
              <w:right w:val="double" w:sz="6" w:space="0" w:color="000000"/>
            </w:tcBorders>
            <w:shd w:fill="CCEEFF" w:val="clear"/>
            <w:tcMar>
              <w:top w:w="0" w:type="dxa"/>
              <w:left w:w="0" w:type="dxa"/>
            </w:tcMar>
            <w:vAlign w:val="center"/>
          </w:tcPr>
          <w:p>
            <w:pPr>
              <w:pStyle w:val="TableContents"/>
              <w:bidi w:val="0"/>
              <w:spacing w:before="0" w:after="0"/>
              <w:jc w:val="center"/>
              <w:rPr/>
            </w:pPr>
            <w:r>
              <w:rPr>
                <w:color w:val="000000"/>
              </w:rPr>
              <w:t>Guarantor</w:t>
            </w:r>
            <w:r>
              <w:rPr/>
              <w:t xml:space="preserve"> </w:t>
            </w:r>
          </w:p>
        </w:tc>
      </w:tr>
      <w:tr>
        <w:trPr/>
        <w:tc>
          <w:tcPr>
            <w:tcW w:w="7104" w:type="dxa"/>
            <w:tcBorders>
              <w:left w:val="double" w:sz="6"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color w:val="000000"/>
              </w:rPr>
              <w:t>Magnera Corporation</w:t>
            </w:r>
            <w:r>
              <w:rPr/>
              <w:t xml:space="preserve"> </w:t>
            </w:r>
          </w:p>
        </w:tc>
        <w:tc>
          <w:tcPr>
            <w:tcW w:w="1503"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color w:val="000000"/>
              </w:rPr>
            </w:pPr>
            <w:r>
              <w:rPr>
                <w:color w:val="000000"/>
              </w:rPr>
              <w:t xml:space="preserve">Pennsylvania </w:t>
            </w:r>
          </w:p>
        </w:tc>
        <w:tc>
          <w:tcPr>
            <w:tcW w:w="1598" w:type="dxa"/>
            <w:tcBorders>
              <w:bottom w:val="single" w:sz="12" w:space="0" w:color="000000"/>
              <w:right w:val="double" w:sz="6" w:space="0" w:color="000000"/>
            </w:tcBorders>
            <w:tcMar>
              <w:top w:w="0" w:type="dxa"/>
              <w:left w:w="0" w:type="dxa"/>
            </w:tcMar>
            <w:vAlign w:val="center"/>
          </w:tcPr>
          <w:p>
            <w:pPr>
              <w:pStyle w:val="TableContents"/>
              <w:bidi w:val="0"/>
              <w:spacing w:before="0" w:after="0"/>
              <w:jc w:val="center"/>
              <w:rPr/>
            </w:pPr>
            <w:r>
              <w:rPr>
                <w:color w:val="000000"/>
              </w:rPr>
              <w:t>Guarantor / Issuer</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rFonts w:ascii="Times New Roman" w:hAnsi="Times New Roman"/>
          <w:color w:val="000000"/>
          <w:u w:val="single"/>
        </w:rPr>
        <w:t>Pledged Security Collateral</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color w:val="000000"/>
        </w:rPr>
        <w:t>As of September 27, 2025, the obligations under the Magnera Senior Secured Notes were secured by pledges of the capital stock of the following affiliates of the Company:</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062"/>
        <w:gridCol w:w="2055"/>
        <w:gridCol w:w="1766"/>
        <w:gridCol w:w="2446"/>
        <w:gridCol w:w="1876"/>
      </w:tblGrid>
      <w:tr>
        <w:trPr/>
        <w:tc>
          <w:tcPr>
            <w:tcW w:w="206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2062" w:type="dxa"/>
            <w:tcBorders>
              <w:top w:val="double" w:sz="6" w:space="0" w:color="000000"/>
              <w:left w:val="double" w:sz="6" w:space="0" w:color="000000"/>
              <w:bottom w:val="single" w:sz="12" w:space="0" w:color="000000"/>
              <w:right w:val="single" w:sz="12" w:space="0" w:color="000000"/>
            </w:tcBorders>
            <w:shd w:fill="B6B6B6" w:val="clear"/>
            <w:tcMar>
              <w:left w:w="108" w:type="dxa"/>
              <w:right w:w="108" w:type="dxa"/>
            </w:tcMar>
            <w:vAlign w:val="center"/>
          </w:tcPr>
          <w:p>
            <w:pPr>
              <w:pStyle w:val="TableContents"/>
              <w:bidi w:val="0"/>
              <w:spacing w:before="0" w:after="0"/>
              <w:jc w:val="center"/>
              <w:rPr/>
            </w:pPr>
            <w:r>
              <w:rPr/>
              <w:t xml:space="preserve">Issuer </w:t>
            </w:r>
          </w:p>
        </w:tc>
        <w:tc>
          <w:tcPr>
            <w:tcW w:w="2055" w:type="dxa"/>
            <w:tcBorders>
              <w:top w:val="double" w:sz="6" w:space="0" w:color="000000"/>
              <w:left w:val="single" w:sz="12" w:space="0" w:color="000000"/>
              <w:bottom w:val="single" w:sz="12" w:space="0" w:color="000000"/>
              <w:right w:val="single" w:sz="12" w:space="0" w:color="000000"/>
            </w:tcBorders>
            <w:shd w:fill="B6B6B6" w:val="clear"/>
            <w:tcMar>
              <w:left w:w="108" w:type="dxa"/>
              <w:right w:w="108" w:type="dxa"/>
            </w:tcMar>
            <w:vAlign w:val="center"/>
          </w:tcPr>
          <w:p>
            <w:pPr>
              <w:pStyle w:val="TableContents"/>
              <w:bidi w:val="0"/>
              <w:spacing w:before="0" w:after="0"/>
              <w:jc w:val="center"/>
              <w:rPr/>
            </w:pPr>
            <w:r>
              <w:rPr/>
              <w:t xml:space="preserve">Owner </w:t>
            </w:r>
          </w:p>
        </w:tc>
        <w:tc>
          <w:tcPr>
            <w:tcW w:w="1766" w:type="dxa"/>
            <w:tcBorders>
              <w:top w:val="double" w:sz="6" w:space="0" w:color="000000"/>
              <w:left w:val="single" w:sz="12" w:space="0" w:color="000000"/>
              <w:bottom w:val="single" w:sz="12" w:space="0" w:color="000000"/>
              <w:right w:val="single" w:sz="12" w:space="0" w:color="000000"/>
            </w:tcBorders>
            <w:shd w:fill="B6B6B6" w:val="clear"/>
            <w:tcMar>
              <w:left w:w="108" w:type="dxa"/>
              <w:right w:w="108" w:type="dxa"/>
            </w:tcMar>
            <w:vAlign w:val="center"/>
          </w:tcPr>
          <w:p>
            <w:pPr>
              <w:pStyle w:val="TableContents"/>
              <w:bidi w:val="0"/>
              <w:spacing w:before="0" w:after="0"/>
              <w:jc w:val="center"/>
              <w:rPr/>
            </w:pPr>
            <w:r>
              <w:rPr/>
              <w:t>Number of Issuer </w:t>
            </w:r>
            <w:r>
              <w:rPr>
                <w:sz w:val="20"/>
              </w:rPr>
              <w:t>Certificate</w:t>
            </w:r>
          </w:p>
        </w:tc>
        <w:tc>
          <w:tcPr>
            <w:tcW w:w="2446" w:type="dxa"/>
            <w:tcBorders>
              <w:top w:val="double" w:sz="6" w:space="0" w:color="000000"/>
              <w:left w:val="single" w:sz="12" w:space="0" w:color="000000"/>
              <w:bottom w:val="single" w:sz="12" w:space="0" w:color="000000"/>
              <w:right w:val="single" w:sz="12" w:space="0" w:color="000000"/>
            </w:tcBorders>
            <w:shd w:fill="B6B6B6" w:val="clear"/>
            <w:tcMar>
              <w:left w:w="108" w:type="dxa"/>
              <w:right w:w="108" w:type="dxa"/>
            </w:tcMar>
            <w:vAlign w:val="center"/>
          </w:tcPr>
          <w:p>
            <w:pPr>
              <w:pStyle w:val="TableContents"/>
              <w:bidi w:val="0"/>
              <w:spacing w:before="0" w:after="0"/>
              <w:jc w:val="center"/>
              <w:rPr/>
            </w:pPr>
            <w:r>
              <w:rPr/>
              <w:t xml:space="preserve">Number and Class of Equity Interest </w:t>
            </w:r>
          </w:p>
        </w:tc>
        <w:tc>
          <w:tcPr>
            <w:tcW w:w="1876" w:type="dxa"/>
            <w:tcBorders>
              <w:top w:val="double" w:sz="6" w:space="0" w:color="000000"/>
              <w:left w:val="single" w:sz="12" w:space="0" w:color="000000"/>
              <w:bottom w:val="single" w:sz="12" w:space="0" w:color="000000"/>
              <w:right w:val="double" w:sz="6" w:space="0" w:color="000000"/>
            </w:tcBorders>
            <w:shd w:fill="B6B6B6" w:val="clear"/>
            <w:tcMar>
              <w:left w:w="108" w:type="dxa"/>
              <w:right w:w="108" w:type="dxa"/>
            </w:tcMar>
            <w:vAlign w:val="center"/>
          </w:tcPr>
          <w:p>
            <w:pPr>
              <w:pStyle w:val="TableContents"/>
              <w:bidi w:val="0"/>
              <w:spacing w:before="0" w:after="0"/>
              <w:jc w:val="center"/>
              <w:rPr/>
            </w:pPr>
            <w:r>
              <w:rPr/>
              <w:t>Percentage of Equity </w:t>
            </w:r>
            <w:r>
              <w:rPr>
                <w:sz w:val="20"/>
              </w:rPr>
              <w:t>Interests Pledged</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GW Partners, LLC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Corporation (to be renamed Magnera Corporation)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Glatfelter Holdings, LLC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Glatfelter Corporation (to be renamed Magnera Corporation)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2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Advanced Materials N.A., LLC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Corporation (to be renamed Magnera Corporation)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Glatfelter Mt. Holly LLC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Glatfelter Corporation (to be renamed Magnera Corporation)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Digital Solutions, LLC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Corporation (to be renamed Magnera Corporation)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Treasure Merger Sub II, LLC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Glatfelter Corporation (to be renamed Magnera Corporation)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Composite Fibers NA, Inc.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Corporation (to be renamed Magnera Corporation)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1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1,000 shares of common stock authorized; 500 shares issued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PHG Tea Leaves, Inc.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Glatfelter Corporation (to be renamed Magnera Corporation)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3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1,000 shares of common stock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Sontara Old Hickory, Inc.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PHG Tea Leaves, Inc.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2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100 shares of common stock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Glatfelter Industries Asheville, Inc.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PHG Tea Leaves, Inc.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8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16,000 shares of common stock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Luxembourg S.À.R.L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PHG Tea Leaves, Inc.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12,501 shares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Glatfelter Gatineau Ltée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PHG Tea Leaves, Inc.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C-3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42,396,408 shares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Holding (Luxembourg) AG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PHG Tea Leaves, Inc.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3,229 shares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Glatfelter Russia, LLC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PHG Tea Leaves, Inc.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1,666,000 shares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Russia, LLC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Glatfelter Composite Fibers NA, Inc.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25,500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Berry Film Products Company, Inc.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Treasure Merger Sub II, LLC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Berry Film Products Acquisition Company, Inc.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Berry Film Products Company, Inc.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Berry Holding Company do Brasil Ltda.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Berry Film Products Company, Inc.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Tyco Acquisition Alpha LLC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Berry Film Products Company, Inc.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Rafypak, S.A. de C.V.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Berry Film Products Company, Inc.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AVINTIV INC.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Treasure Merger Sub II, LLC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AVINTIV Acquisition LLC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AVINTIV INC.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AVINTIV Specialty Materials, LLC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AVINTIV Acquisition LLC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PGI Polymer, LLC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AVINTIV Specialty Materials, LLC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Fabrene, Inc.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AVINTIV INC.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HHS German Holdings GmbH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AVINTIV INC.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Chicopee, LLC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PGI Polymer, LLC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Providencia USA, Inc.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Chicopee, LLC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02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122,031,984,000 shares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Dominion Textile (USA), L.L.C.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Chicopee, LLC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PGI Europe, LLC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Chicopee, LLC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Fabrene, L.L.C.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Chicopee, LLC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Chicopee Asia, Limited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Chicopee, LLC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1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10,000 shares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Chicopee Holdings B.V.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PGI Europe, LLC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PGI Spain S.L.U.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PGI Europe, LLC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Fiberweb Geosynthetics Limited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PGI Europe, LLC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Fiberweb, LLC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PGI Europe, LLC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Old Hickory Steamworks, LLC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Fiberweb, LLC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N/A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N/A; Limited liability company interest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100%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PGI Nonwovens (Mauritius)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PGI Polymer, LLC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3A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2 shares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Fiberweb Holdings Limited </w:t>
            </w:r>
          </w:p>
        </w:tc>
        <w:tc>
          <w:tcPr>
            <w:tcW w:w="2055"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PGI Europe, LLC </w:t>
            </w:r>
          </w:p>
        </w:tc>
        <w:tc>
          <w:tcPr>
            <w:tcW w:w="176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Terram Limited </w:t>
            </w:r>
          </w:p>
        </w:tc>
        <w:tc>
          <w:tcPr>
            <w:tcW w:w="2055"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PGI Europe, LLC </w:t>
            </w:r>
          </w:p>
        </w:tc>
        <w:tc>
          <w:tcPr>
            <w:tcW w:w="176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center"/>
              <w:rPr/>
            </w:pPr>
            <w:r>
              <w:rPr/>
              <w:t xml:space="preserve">Lost. </w:t>
            </w:r>
          </w:p>
        </w:tc>
        <w:tc>
          <w:tcPr>
            <w:tcW w:w="244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left"/>
              <w:rPr/>
            </w:pPr>
            <w:r>
              <w:rPr/>
              <w:t xml:space="preserve">Lost. </w:t>
            </w:r>
          </w:p>
        </w:tc>
        <w:tc>
          <w:tcPr>
            <w:tcW w:w="1876" w:type="dxa"/>
            <w:tcBorders>
              <w:top w:val="single" w:sz="12" w:space="0" w:color="000000"/>
              <w:left w:val="single" w:sz="12" w:space="0" w:color="000000"/>
              <w:bottom w:val="single" w:sz="12" w:space="0" w:color="000000"/>
              <w:right w:val="double" w:sz="6" w:space="0" w:color="000000"/>
            </w:tcBorders>
            <w:tcMar>
              <w:left w:w="108" w:type="dxa"/>
              <w:right w:w="108" w:type="dxa"/>
            </w:tcMar>
            <w:vAlign w:val="center"/>
          </w:tcPr>
          <w:p>
            <w:pPr>
              <w:pStyle w:val="TableContents"/>
              <w:bidi w:val="0"/>
              <w:spacing w:before="0" w:after="0"/>
              <w:jc w:val="center"/>
              <w:rPr/>
            </w:pPr>
            <w:r>
              <w:rPr/>
              <w:t xml:space="preserve">65% </w:t>
            </w:r>
          </w:p>
        </w:tc>
      </w:tr>
      <w:tr>
        <w:trPr/>
        <w:tc>
          <w:tcPr>
            <w:tcW w:w="2062" w:type="dxa"/>
            <w:tcBorders>
              <w:top w:val="single" w:sz="12" w:space="0" w:color="000000"/>
              <w:left w:val="double" w:sz="6" w:space="0" w:color="000000"/>
              <w:bottom w:val="double" w:sz="6"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PGI Acquisition Limited </w:t>
            </w:r>
          </w:p>
        </w:tc>
        <w:tc>
          <w:tcPr>
            <w:tcW w:w="2055" w:type="dxa"/>
            <w:tcBorders>
              <w:top w:val="single" w:sz="12" w:space="0" w:color="000000"/>
              <w:left w:val="single" w:sz="12" w:space="0" w:color="000000"/>
              <w:bottom w:val="double" w:sz="6"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PGI Europe, LLC </w:t>
            </w:r>
          </w:p>
        </w:tc>
        <w:tc>
          <w:tcPr>
            <w:tcW w:w="1766" w:type="dxa"/>
            <w:tcBorders>
              <w:top w:val="single" w:sz="12" w:space="0" w:color="000000"/>
              <w:left w:val="single" w:sz="12" w:space="0" w:color="000000"/>
              <w:bottom w:val="double" w:sz="6" w:space="0" w:color="000000"/>
              <w:right w:val="single" w:sz="12" w:space="0" w:color="000000"/>
            </w:tcBorders>
            <w:shd w:fill="CCEEFF" w:val="clear"/>
            <w:tcMar>
              <w:left w:w="108" w:type="dxa"/>
              <w:right w:w="108" w:type="dxa"/>
            </w:tcMar>
            <w:vAlign w:val="center"/>
          </w:tcPr>
          <w:p>
            <w:pPr>
              <w:pStyle w:val="TableContents"/>
              <w:bidi w:val="0"/>
              <w:spacing w:before="0" w:after="0"/>
              <w:jc w:val="center"/>
              <w:rPr/>
            </w:pPr>
            <w:r>
              <w:rPr/>
              <w:t xml:space="preserve">4 </w:t>
            </w:r>
          </w:p>
        </w:tc>
        <w:tc>
          <w:tcPr>
            <w:tcW w:w="2446" w:type="dxa"/>
            <w:tcBorders>
              <w:top w:val="single" w:sz="12" w:space="0" w:color="000000"/>
              <w:left w:val="single" w:sz="12" w:space="0" w:color="000000"/>
              <w:bottom w:val="double" w:sz="6" w:space="0" w:color="000000"/>
              <w:right w:val="single" w:sz="12" w:space="0" w:color="000000"/>
            </w:tcBorders>
            <w:shd w:fill="CCEEFF" w:val="clear"/>
            <w:tcMar>
              <w:left w:w="108" w:type="dxa"/>
              <w:right w:w="108" w:type="dxa"/>
            </w:tcMar>
            <w:vAlign w:val="center"/>
          </w:tcPr>
          <w:p>
            <w:pPr>
              <w:pStyle w:val="TableContents"/>
              <w:bidi w:val="0"/>
              <w:spacing w:before="0" w:after="0"/>
              <w:jc w:val="left"/>
              <w:rPr/>
            </w:pPr>
            <w:r>
              <w:rPr/>
              <w:t xml:space="preserve">65 ordinary share </w:t>
            </w:r>
          </w:p>
        </w:tc>
        <w:tc>
          <w:tcPr>
            <w:tcW w:w="1876" w:type="dxa"/>
            <w:tcBorders>
              <w:top w:val="single" w:sz="12" w:space="0" w:color="000000"/>
              <w:left w:val="single" w:sz="12" w:space="0" w:color="000000"/>
              <w:bottom w:val="double" w:sz="6" w:space="0" w:color="000000"/>
              <w:right w:val="double" w:sz="6" w:space="0" w:color="000000"/>
            </w:tcBorders>
            <w:shd w:fill="CCEEFF" w:val="clear"/>
            <w:tcMar>
              <w:left w:w="108" w:type="dxa"/>
              <w:right w:w="108" w:type="dxa"/>
            </w:tcMar>
            <w:vAlign w:val="center"/>
          </w:tcPr>
          <w:p>
            <w:pPr>
              <w:pStyle w:val="TableContents"/>
              <w:bidi w:val="0"/>
              <w:spacing w:before="0" w:after="0"/>
              <w:jc w:val="center"/>
              <w:rPr/>
            </w:pPr>
            <w:r>
              <w:rPr/>
              <w:t xml:space="preserve">65%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47" w:name="exhibit23-1.htm"/>
      <w:bookmarkStart w:id="48" w:name="ksexhibit231"/>
      <w:bookmarkStart w:id="49" w:name="exhibit23-1.htm"/>
      <w:bookmarkStart w:id="50" w:name="ksexhibit231"/>
      <w:bookmarkEnd w:id="49"/>
      <w:bookmarkEnd w:id="50"/>
      <w:r>
        <w:br w:type="page"/>
      </w:r>
    </w:p>
    <w:p>
      <w:pPr>
        <w:pStyle w:val="TextBody"/>
        <w:bidi w:val="0"/>
        <w:spacing w:before="0" w:after="0"/>
        <w:jc w:val="right"/>
        <w:rPr/>
      </w:pPr>
      <w:r>
        <w:rPr>
          <w:b/>
          <w:color w:val="000000"/>
        </w:rPr>
        <w:t>Exhibit 23.1</w:t>
      </w:r>
      <w:r>
        <w:rPr/>
        <w:t xml:space="preserve"> </w:t>
      </w:r>
    </w:p>
    <w:p>
      <w:pPr>
        <w:pStyle w:val="TextBody"/>
        <w:bidi w:val="0"/>
        <w:spacing w:before="0" w:after="0"/>
        <w:jc w:val="left"/>
        <w:rPr/>
      </w:pPr>
      <w:r>
        <w:rPr/>
        <w:t xml:space="preserve">  </w:t>
      </w:r>
    </w:p>
    <w:p>
      <w:pPr>
        <w:pStyle w:val="TextBody"/>
        <w:bidi w:val="0"/>
        <w:spacing w:before="0" w:after="0"/>
        <w:jc w:val="center"/>
        <w:rPr/>
      </w:pPr>
      <w:r>
        <w:rPr>
          <w:b/>
          <w:color w:val="000000"/>
        </w:rPr>
        <w:t>Consent of Independent Registered Public Accounting Firm</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rPr>
        <w:t>We consent to the incorporation by reference in the following Registration Statements:</w:t>
      </w: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Registration Statement (Form S-8 No. 333-282991) pertaining to the Magnera Corporation 2024 Omnibus Incentive Plan;</w:t>
      </w:r>
      <w:r>
        <w:rPr/>
        <w:t xml:space="preserve">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228600" cy="175260"/>
                <wp:effectExtent l="0" t="0" r="0" b="0"/>
                <wp:wrapSquare wrapText="right"/>
                <wp:docPr id="49" name="Frame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Registration Statement (Form S-8 No. 333-264855) pertaining to the Magnera Corporation 2024 Omnibus Incentive Plan (f/k/a Glatfelter Corporation 2022 Long-Term Incentive Plan); and</w:t>
      </w:r>
      <w:r>
        <w:rPr/>
        <w:t xml:space="preserve">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228600" cy="175260"/>
                <wp:effectExtent l="0" t="0" r="0" b="0"/>
                <wp:wrapSquare wrapText="right"/>
                <wp:docPr id="50" name="Frame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(2)</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pPr>
      <w:r>
        <w:rPr>
          <w:color w:val="000000"/>
        </w:rPr>
        <w:t>Registration Statement (Form S-8 No. 333-271720) pertaining to the Magnera Corporation 2024 Omnibus Incentive Plan (f/k/a Glatfelter Corporation 2022 Long-Term Incentive Plan)</w:t>
      </w:r>
      <w:r>
        <w:rPr/>
        <w:t xml:space="preserve">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228600" cy="175260"/>
                <wp:effectExtent l="0" t="0" r="0" b="0"/>
                <wp:wrapSquare wrapText="right"/>
                <wp:docPr id="51" name="Frame4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pPr>
      <w:r>
        <w:rPr>
          <w:color w:val="000000"/>
        </w:rPr>
        <w:t>of our reports dated November 25, 2025, with respect to the consolidated and combined financial statements of Magnera Corporation, and the effectiveness of internal control over financial reporting of Magnera Corporation, included in this Annual Report (Form 10-K) of Magnera Corporation for the year ended September 27, 2025.</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/s/ Ernst &amp; Young LLP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Indianapolis, Indiana </w:t>
      </w:r>
    </w:p>
    <w:p>
      <w:pPr>
        <w:pStyle w:val="TextBody"/>
        <w:bidi w:val="0"/>
        <w:spacing w:before="0" w:after="0"/>
        <w:jc w:val="left"/>
        <w:rPr/>
      </w:pPr>
      <w:r>
        <w:rPr/>
        <w:t xml:space="preserve">November 25, 2025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xml:space="preserve">  </w:t>
      </w:r>
    </w:p>
    <w:p>
      <w:pPr>
        <w:pStyle w:val="HorizontalLine"/>
        <w:bidi w:val="0"/>
        <w:jc w:val="left"/>
        <w:rPr/>
      </w:pPr>
      <w:r>
        <w:rPr/>
      </w:r>
      <w:bookmarkStart w:id="51" w:name="exhibit31-1.htm"/>
      <w:bookmarkStart w:id="52" w:name="ksexhibit311"/>
      <w:bookmarkStart w:id="53" w:name="exhibit31-1.htm"/>
      <w:bookmarkStart w:id="54" w:name="ksexhibit311"/>
      <w:bookmarkEnd w:id="53"/>
      <w:bookmarkEnd w:id="54"/>
      <w:r>
        <w:br w:type="page"/>
      </w:r>
    </w:p>
    <w:p>
      <w:pPr>
        <w:pStyle w:val="TextBody"/>
        <w:bidi w:val="0"/>
        <w:spacing w:before="0" w:after="0"/>
        <w:jc w:val="right"/>
        <w:rPr/>
      </w:pPr>
      <w:r>
        <w:rPr>
          <w:b/>
          <w:color w:val="000000"/>
        </w:rPr>
        <w:t>EXHIBIT 31.1</w:t>
      </w:r>
      <w:r>
        <w:rPr/>
        <w:t xml:space="preserve"> </w:t>
      </w:r>
    </w:p>
    <w:p>
      <w:pPr>
        <w:pStyle w:val="TextBody"/>
        <w:bidi w:val="0"/>
        <w:spacing w:before="0" w:after="0"/>
        <w:jc w:val="right"/>
        <w:rPr/>
      </w:pPr>
      <w:r>
        <w:rPr/>
        <w:t xml:space="preserve">  </w:t>
      </w:r>
    </w:p>
    <w:p>
      <w:pPr>
        <w:pStyle w:val="TextBody"/>
        <w:bidi w:val="0"/>
        <w:spacing w:before="0" w:after="0"/>
        <w:jc w:val="center"/>
        <w:rPr/>
      </w:pPr>
      <w:r>
        <w:rPr>
          <w:b/>
          <w:color w:val="000000"/>
        </w:rPr>
        <w:t>CHIEF EXECUTIVE OFFICER CERTIFICATION</w:t>
      </w: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rPr>
        <w:t xml:space="preserve">I, Curtis L. Begle, Chief Executive Officer </w:t>
      </w:r>
      <w:r>
        <w:rPr/>
        <w:t xml:space="preserve">of Magnera Corporation, </w:t>
      </w:r>
      <w:r>
        <w:rPr>
          <w:color w:val="000000"/>
        </w:rPr>
        <w:t>certify that:</w:t>
      </w: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I have reviewed this annual report on Form 10-K of</w:t>
      </w:r>
      <w:r>
        <w:rPr/>
        <w:t xml:space="preserve"> Magnera Corporation (the “Registrant”);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228600" cy="175260"/>
                <wp:effectExtent l="0" t="0" r="0" b="0"/>
                <wp:wrapSquare wrapText="right"/>
                <wp:docPr id="52" name="Frame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t xml:space="preserve">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228600" cy="175260"/>
                <wp:effectExtent l="0" t="0" r="0" b="0"/>
                <wp:wrapSquare wrapText="right"/>
                <wp:docPr id="53" name="Frame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228600" cy="175260"/>
                <wp:effectExtent l="0" t="0" r="0" b="0"/>
                <wp:wrapSquare wrapText="right"/>
                <wp:docPr id="54" name="Frame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t xml:space="preserv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228600" cy="175260"/>
                <wp:effectExtent l="0" t="0" r="0" b="0"/>
                <wp:wrapSquare wrapText="right"/>
                <wp:docPr id="55" name="Frame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r>
        <w:rPr/>
        <w:t xml:space="preserve">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228600" cy="175260"/>
                <wp:effectExtent l="0" t="0" r="0" b="0"/>
                <wp:wrapSquare wrapText="right"/>
                <wp:docPr id="56" name="Frame5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t xml:space="preserve">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228600" cy="175260"/>
                <wp:effectExtent l="0" t="0" r="0" b="0"/>
                <wp:wrapSquare wrapText="right"/>
                <wp:docPr id="57" name="Frame5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(b)</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t xml:space="preserve">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228600" cy="175260"/>
                <wp:effectExtent l="0" t="0" r="0" b="0"/>
                <wp:wrapSquare wrapText="right"/>
                <wp:docPr id="58" name="Frame5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(c)</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t xml:space="preserve">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228600" cy="175260"/>
                <wp:effectExtent l="0" t="0" r="0" b="0"/>
                <wp:wrapSquare wrapText="right"/>
                <wp:docPr id="59" name="Frame5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(d)</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28600" cy="175260"/>
                <wp:effectExtent l="0" t="0" r="0" b="0"/>
                <wp:wrapSquare wrapText="right"/>
                <wp:docPr id="60" name="Frame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5.</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228600" cy="175260"/>
                <wp:effectExtent l="0" t="0" r="0" b="0"/>
                <wp:wrapSquare wrapText="right"/>
                <wp:docPr id="61" name="Frame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Any fraud, whether or not material, that involves management or other employees who have a significant role in the Registrant's internal control over financial reporting.</w:t>
      </w:r>
      <w:r>
        <w:rPr/>
        <w:t xml:space="preserve">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228600" cy="175260"/>
                <wp:effectExtent l="0" t="0" r="0" b="0"/>
                <wp:wrapSquare wrapText="right"/>
                <wp:docPr id="62" name="Frame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(b)</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jc w:val="left"/>
        <w:rPr/>
      </w:pPr>
      <w:r>
        <w:rPr>
          <w:color w:val="000000"/>
        </w:rPr>
        <w:t> </w:t>
      </w:r>
      <w:r>
        <w:rPr/>
        <w:t xml:space="preserve"> </w:t>
      </w:r>
    </w:p>
    <w:tbl>
      <w:tblPr>
        <w:tblW w:w="5024" w:type="dxa"/>
        <w:jc w:val="left"/>
        <w:tblInd w:w="0" w:type="dxa"/>
        <w:tblLayout w:type="fixed"/>
        <w:tblCellMar>
          <w:top w:w="28" w:type="dxa"/>
          <w:left w:w="28" w:type="dxa"/>
          <w:bottom w:w="28" w:type="dxa"/>
          <w:right w:w="28" w:type="dxa"/>
        </w:tblCellMar>
      </w:tblPr>
      <w:tblGrid>
        <w:gridCol w:w="2251"/>
        <w:gridCol w:w="451"/>
        <w:gridCol w:w="2071"/>
        <w:gridCol w:w="251"/>
      </w:tblGrid>
      <w:tr>
        <w:trPr/>
        <w:tc>
          <w:tcPr>
            <w:tcW w:w="2251" w:type="dxa"/>
            <w:tcBorders/>
            <w:vAlign w:val="center"/>
          </w:tcPr>
          <w:p>
            <w:pPr>
              <w:pStyle w:val="TableContents"/>
              <w:bidi w:val="0"/>
              <w:spacing w:before="0" w:after="0"/>
              <w:jc w:val="left"/>
              <w:rPr/>
            </w:pPr>
            <w:r>
              <w:rPr>
                <w:color w:val="000000"/>
              </w:rPr>
              <w:t> </w:t>
            </w: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sz w:val="20"/>
              </w:rPr>
            </w:pPr>
            <w:r>
              <w:rPr>
                <w:color w:val="000000"/>
                <w:sz w:val="20"/>
              </w:rPr>
              <w:t>By:</w:t>
            </w:r>
            <w:r>
              <w:rPr>
                <w:sz w:val="20"/>
              </w:rPr>
              <w:t xml:space="preserve"> </w:t>
            </w:r>
          </w:p>
        </w:tc>
        <w:tc>
          <w:tcPr>
            <w:tcW w:w="2071" w:type="dxa"/>
            <w:tcBorders>
              <w:bottom w:val="single" w:sz="8" w:space="0" w:color="000000"/>
            </w:tcBorders>
            <w:tcMar>
              <w:top w:w="0" w:type="dxa"/>
              <w:left w:w="0" w:type="dxa"/>
              <w:right w:w="0" w:type="dxa"/>
            </w:tcMar>
            <w:vAlign w:val="center"/>
          </w:tcPr>
          <w:p>
            <w:pPr>
              <w:pStyle w:val="TableContents"/>
              <w:bidi w:val="0"/>
              <w:spacing w:before="0" w:after="0"/>
              <w:jc w:val="left"/>
              <w:rPr>
                <w:sz w:val="20"/>
              </w:rPr>
            </w:pPr>
            <w:r>
              <w:rPr>
                <w:color w:val="000000"/>
                <w:sz w:val="20"/>
              </w:rPr>
              <w:t>/s/ Curtis L. Begle</w:t>
            </w:r>
            <w:r>
              <w:rPr>
                <w:sz w:val="20"/>
              </w:rPr>
              <w:t xml:space="preserve"> </w:t>
            </w:r>
          </w:p>
        </w:tc>
        <w:tc>
          <w:tcPr>
            <w:tcW w:w="251" w:type="dxa"/>
            <w:tcBorders/>
            <w:vAlign w:val="center"/>
          </w:tcPr>
          <w:p>
            <w:pPr>
              <w:pStyle w:val="TableContents"/>
              <w:bidi w:val="0"/>
              <w:spacing w:before="0" w:after="283"/>
              <w:jc w:val="left"/>
              <w:rPr/>
            </w:pPr>
            <w:r>
              <w:rPr/>
              <w:t xml:space="preserve">  </w:t>
            </w:r>
          </w:p>
        </w:tc>
      </w:tr>
      <w:tr>
        <w:trPr/>
        <w:tc>
          <w:tcPr>
            <w:tcW w:w="2251" w:type="dxa"/>
            <w:tcBorders/>
            <w:tcMar>
              <w:top w:w="0" w:type="dxa"/>
              <w:left w:w="0" w:type="dxa"/>
              <w:bottom w:w="0" w:type="dxa"/>
              <w:right w:w="0" w:type="dxa"/>
            </w:tcMar>
            <w:vAlign w:val="center"/>
          </w:tcPr>
          <w:p>
            <w:pPr>
              <w:pStyle w:val="TableContents"/>
              <w:bidi w:val="0"/>
              <w:spacing w:before="0" w:after="0"/>
              <w:jc w:val="left"/>
              <w:rPr>
                <w:sz w:val="20"/>
              </w:rPr>
            </w:pPr>
            <w:r>
              <w:rPr>
                <w:color w:val="000000"/>
                <w:sz w:val="20"/>
              </w:rPr>
              <w:t>Date: November 25, 2025</w:t>
            </w:r>
            <w:r>
              <w:rPr>
                <w:sz w:val="20"/>
              </w:rPr>
              <w:t xml:space="preserve"> </w:t>
            </w:r>
          </w:p>
        </w:tc>
        <w:tc>
          <w:tcPr>
            <w:tcW w:w="451" w:type="dxa"/>
            <w:tcBorders/>
            <w:vAlign w:val="center"/>
          </w:tcPr>
          <w:p>
            <w:pPr>
              <w:pStyle w:val="TableContents"/>
              <w:bidi w:val="0"/>
              <w:spacing w:before="0" w:after="0"/>
              <w:jc w:val="left"/>
              <w:rPr/>
            </w:pPr>
            <w:r>
              <w:rPr>
                <w:color w:val="000000"/>
              </w:rPr>
              <w:t> </w:t>
            </w:r>
            <w:r>
              <w:rPr/>
              <w:t xml:space="preserve"> </w:t>
            </w:r>
          </w:p>
        </w:tc>
        <w:tc>
          <w:tcPr>
            <w:tcW w:w="2071"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color w:val="000000"/>
                <w:sz w:val="20"/>
              </w:rPr>
              <w:t>Curtis L. Begle</w:t>
            </w:r>
            <w:r>
              <w:rPr>
                <w:sz w:val="20"/>
              </w:rPr>
              <w:t xml:space="preserve"> </w:t>
            </w:r>
          </w:p>
        </w:tc>
        <w:tc>
          <w:tcPr>
            <w:tcW w:w="251" w:type="dxa"/>
            <w:tcBorders/>
            <w:vAlign w:val="center"/>
          </w:tcPr>
          <w:p>
            <w:pPr>
              <w:pStyle w:val="TableContents"/>
              <w:bidi w:val="0"/>
              <w:spacing w:before="0" w:after="283"/>
              <w:jc w:val="left"/>
              <w:rPr/>
            </w:pPr>
            <w:r>
              <w:rPr/>
              <w:t xml:space="preserve">  </w:t>
            </w:r>
          </w:p>
        </w:tc>
      </w:tr>
      <w:tr>
        <w:trPr/>
        <w:tc>
          <w:tcPr>
            <w:tcW w:w="2251" w:type="dxa"/>
            <w:tcBorders/>
            <w:vAlign w:val="center"/>
          </w:tcPr>
          <w:p>
            <w:pPr>
              <w:pStyle w:val="TableContents"/>
              <w:bidi w:val="0"/>
              <w:spacing w:before="0" w:after="0"/>
              <w:jc w:val="left"/>
              <w:rPr/>
            </w:pPr>
            <w:r>
              <w:rPr>
                <w:color w:val="000000"/>
              </w:rPr>
              <w:t> </w:t>
            </w:r>
            <w:r>
              <w:rPr/>
              <w:t xml:space="preserve"> </w:t>
            </w:r>
          </w:p>
        </w:tc>
        <w:tc>
          <w:tcPr>
            <w:tcW w:w="451" w:type="dxa"/>
            <w:tcBorders/>
            <w:vAlign w:val="center"/>
          </w:tcPr>
          <w:p>
            <w:pPr>
              <w:pStyle w:val="TableContents"/>
              <w:bidi w:val="0"/>
              <w:spacing w:before="0" w:after="0"/>
              <w:jc w:val="left"/>
              <w:rPr/>
            </w:pPr>
            <w:r>
              <w:rPr>
                <w:color w:val="000000"/>
              </w:rPr>
              <w:t> </w:t>
            </w:r>
            <w:r>
              <w:rPr/>
              <w:t xml:space="preserve"> </w:t>
            </w:r>
          </w:p>
        </w:tc>
        <w:tc>
          <w:tcPr>
            <w:tcW w:w="2071" w:type="dxa"/>
            <w:tcBorders/>
            <w:tcMar>
              <w:top w:w="0" w:type="dxa"/>
              <w:left w:w="0" w:type="dxa"/>
              <w:bottom w:w="0" w:type="dxa"/>
              <w:right w:w="0" w:type="dxa"/>
            </w:tcMar>
            <w:vAlign w:val="center"/>
          </w:tcPr>
          <w:p>
            <w:pPr>
              <w:pStyle w:val="TableContents"/>
              <w:bidi w:val="0"/>
              <w:spacing w:before="0" w:after="0"/>
              <w:jc w:val="left"/>
              <w:rPr>
                <w:sz w:val="20"/>
              </w:rPr>
            </w:pPr>
            <w:r>
              <w:rPr>
                <w:color w:val="000000"/>
                <w:sz w:val="20"/>
              </w:rPr>
              <w:t>Chief Executive Officer</w:t>
            </w:r>
            <w:r>
              <w:rPr>
                <w:sz w:val="20"/>
              </w:rPr>
              <w:t xml:space="preserve"> </w:t>
            </w:r>
          </w:p>
        </w:tc>
        <w:tc>
          <w:tcPr>
            <w:tcW w:w="251" w:type="dxa"/>
            <w:tcBorders/>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bookmarkStart w:id="55" w:name="exhibit31-2.htm"/>
      <w:bookmarkStart w:id="56" w:name="ksexhibit312"/>
      <w:bookmarkEnd w:id="55"/>
      <w:bookmarkEnd w:id="56"/>
      <w:r>
        <w:rPr>
          <w:b/>
          <w:color w:val="000000"/>
        </w:rPr>
        <w:t>EXHIBIT 31.2</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color w:val="000000"/>
        </w:rPr>
        <w:t>CHIEF FINANCIAL OFFICER CERTIFICATION</w:t>
      </w: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rPr>
        <w:t xml:space="preserve">I, James M. Till, Chief Financial Officer of </w:t>
      </w:r>
      <w:r>
        <w:rPr/>
        <w:t xml:space="preserve">Magnera Corporation, </w:t>
      </w:r>
      <w:r>
        <w:rPr>
          <w:color w:val="000000"/>
        </w:rPr>
        <w:t>certify that:</w:t>
      </w: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I have reviewed this annual report on Form 10-K of</w:t>
      </w:r>
      <w:r>
        <w:rPr/>
        <w:t xml:space="preserve"> Magnera Corporation (the “Registrant”);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228600" cy="175260"/>
                <wp:effectExtent l="0" t="0" r="0" b="0"/>
                <wp:wrapSquare wrapText="right"/>
                <wp:docPr id="63" name="Frame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t xml:space="preserve">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28600" cy="175260"/>
                <wp:effectExtent l="0" t="0" r="0" b="0"/>
                <wp:wrapSquare wrapText="right"/>
                <wp:docPr id="64" name="Frame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228600" cy="175260"/>
                <wp:effectExtent l="0" t="0" r="0" b="0"/>
                <wp:wrapSquare wrapText="right"/>
                <wp:docPr id="65" name="Frame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t xml:space="preserve">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228600" cy="175260"/>
                <wp:effectExtent l="0" t="0" r="0" b="0"/>
                <wp:wrapSquare wrapText="right"/>
                <wp:docPr id="66" name="Frame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r>
        <w:rPr/>
        <w:t xml:space="preserve">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228600" cy="175260"/>
                <wp:effectExtent l="0" t="0" r="0" b="0"/>
                <wp:wrapSquare wrapText="right"/>
                <wp:docPr id="67" name="Frame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t xml:space="preserve">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228600" cy="175260"/>
                <wp:effectExtent l="0" t="0" r="0" b="0"/>
                <wp:wrapSquare wrapText="right"/>
                <wp:docPr id="68" name="Frame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(b)</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t xml:space="preserve">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228600" cy="175260"/>
                <wp:effectExtent l="0" t="0" r="0" b="0"/>
                <wp:wrapSquare wrapText="right"/>
                <wp:docPr id="69" name="Frame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(c)</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t xml:space="preserve">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228600" cy="175260"/>
                <wp:effectExtent l="0" t="0" r="0" b="0"/>
                <wp:wrapSquare wrapText="right"/>
                <wp:docPr id="70" name="Frame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(d)</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228600" cy="175260"/>
                <wp:effectExtent l="0" t="0" r="0" b="0"/>
                <wp:wrapSquare wrapText="right"/>
                <wp:docPr id="71" name="Frame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5.</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228600" cy="175260"/>
                <wp:effectExtent l="0" t="0" r="0" b="0"/>
                <wp:wrapSquare wrapText="right"/>
                <wp:docPr id="72" name="Frame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Any fraud, whether or not material, that involves management or other employees who have a significant role in the Registrant's internal control over financial reporting.</w:t>
      </w:r>
      <w:r>
        <w:rPr/>
        <w:t xml:space="preserve">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228600" cy="175260"/>
                <wp:effectExtent l="0" t="0" r="0" b="0"/>
                <wp:wrapSquare wrapText="right"/>
                <wp:docPr id="73" name="Frame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(b)</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jc w:val="left"/>
        <w:rPr/>
      </w:pPr>
      <w:r>
        <w:rPr/>
        <w:t xml:space="preserve">  </w:t>
      </w:r>
    </w:p>
    <w:tbl>
      <w:tblPr>
        <w:tblW w:w="4964" w:type="dxa"/>
        <w:jc w:val="left"/>
        <w:tblInd w:w="0" w:type="dxa"/>
        <w:tblLayout w:type="fixed"/>
        <w:tblCellMar>
          <w:top w:w="28" w:type="dxa"/>
          <w:left w:w="28" w:type="dxa"/>
          <w:bottom w:w="28" w:type="dxa"/>
          <w:right w:w="28" w:type="dxa"/>
        </w:tblCellMar>
      </w:tblPr>
      <w:tblGrid>
        <w:gridCol w:w="2251"/>
        <w:gridCol w:w="451"/>
        <w:gridCol w:w="2011"/>
        <w:gridCol w:w="251"/>
      </w:tblGrid>
      <w:tr>
        <w:trPr/>
        <w:tc>
          <w:tcPr>
            <w:tcW w:w="2251" w:type="dxa"/>
            <w:tcBorders/>
            <w:vAlign w:val="center"/>
          </w:tcPr>
          <w:p>
            <w:pPr>
              <w:pStyle w:val="TableContents"/>
              <w:bidi w:val="0"/>
              <w:spacing w:before="0" w:after="0"/>
              <w:jc w:val="left"/>
              <w:rPr/>
            </w:pPr>
            <w:r>
              <w:rPr>
                <w:color w:val="000000"/>
              </w:rPr>
              <w:t> </w:t>
            </w:r>
            <w:r>
              <w:rPr/>
              <w:t xml:space="preserve"> </w:t>
            </w:r>
          </w:p>
        </w:tc>
        <w:tc>
          <w:tcPr>
            <w:tcW w:w="451" w:type="dxa"/>
            <w:tcBorders/>
            <w:tcMar>
              <w:top w:w="0" w:type="dxa"/>
              <w:left w:w="0" w:type="dxa"/>
              <w:bottom w:w="0" w:type="dxa"/>
              <w:right w:w="0" w:type="dxa"/>
            </w:tcMar>
            <w:vAlign w:val="center"/>
          </w:tcPr>
          <w:p>
            <w:pPr>
              <w:pStyle w:val="TableContents"/>
              <w:bidi w:val="0"/>
              <w:spacing w:before="0" w:after="0"/>
              <w:jc w:val="left"/>
              <w:rPr>
                <w:sz w:val="20"/>
              </w:rPr>
            </w:pPr>
            <w:r>
              <w:rPr>
                <w:color w:val="000000"/>
                <w:sz w:val="20"/>
              </w:rPr>
              <w:t>By:</w:t>
            </w:r>
            <w:r>
              <w:rPr>
                <w:sz w:val="20"/>
              </w:rPr>
              <w:t xml:space="preserve"> </w:t>
            </w:r>
          </w:p>
        </w:tc>
        <w:tc>
          <w:tcPr>
            <w:tcW w:w="2011" w:type="dxa"/>
            <w:tcBorders>
              <w:bottom w:val="single" w:sz="8" w:space="0" w:color="000000"/>
            </w:tcBorders>
            <w:tcMar>
              <w:top w:w="0" w:type="dxa"/>
              <w:left w:w="0" w:type="dxa"/>
              <w:right w:w="0" w:type="dxa"/>
            </w:tcMar>
            <w:vAlign w:val="center"/>
          </w:tcPr>
          <w:p>
            <w:pPr>
              <w:pStyle w:val="TableContents"/>
              <w:bidi w:val="0"/>
              <w:spacing w:before="0" w:after="0"/>
              <w:jc w:val="left"/>
              <w:rPr>
                <w:sz w:val="20"/>
              </w:rPr>
            </w:pPr>
            <w:r>
              <w:rPr>
                <w:color w:val="000000"/>
                <w:sz w:val="20"/>
              </w:rPr>
              <w:t>/s/ James M. Till</w:t>
            </w:r>
            <w:r>
              <w:rPr>
                <w:sz w:val="20"/>
              </w:rPr>
              <w:t xml:space="preserve"> </w:t>
            </w:r>
          </w:p>
        </w:tc>
        <w:tc>
          <w:tcPr>
            <w:tcW w:w="251" w:type="dxa"/>
            <w:tcBorders/>
            <w:vAlign w:val="center"/>
          </w:tcPr>
          <w:p>
            <w:pPr>
              <w:pStyle w:val="TableContents"/>
              <w:bidi w:val="0"/>
              <w:spacing w:before="0" w:after="283"/>
              <w:jc w:val="left"/>
              <w:rPr/>
            </w:pPr>
            <w:r>
              <w:rPr/>
              <w:t xml:space="preserve">  </w:t>
            </w:r>
          </w:p>
        </w:tc>
      </w:tr>
      <w:tr>
        <w:trPr/>
        <w:tc>
          <w:tcPr>
            <w:tcW w:w="2251" w:type="dxa"/>
            <w:tcBorders/>
            <w:tcMar>
              <w:top w:w="0" w:type="dxa"/>
              <w:left w:w="0" w:type="dxa"/>
              <w:bottom w:w="0" w:type="dxa"/>
              <w:right w:w="0" w:type="dxa"/>
            </w:tcMar>
            <w:vAlign w:val="center"/>
          </w:tcPr>
          <w:p>
            <w:pPr>
              <w:pStyle w:val="TableContents"/>
              <w:bidi w:val="0"/>
              <w:spacing w:before="0" w:after="0"/>
              <w:jc w:val="left"/>
              <w:rPr>
                <w:sz w:val="20"/>
              </w:rPr>
            </w:pPr>
            <w:r>
              <w:rPr>
                <w:color w:val="000000"/>
                <w:sz w:val="20"/>
              </w:rPr>
              <w:t>Date: November 25, 2025</w:t>
            </w:r>
            <w:r>
              <w:rPr>
                <w:sz w:val="20"/>
              </w:rPr>
              <w:t xml:space="preserve"> </w:t>
            </w:r>
          </w:p>
        </w:tc>
        <w:tc>
          <w:tcPr>
            <w:tcW w:w="451" w:type="dxa"/>
            <w:tcBorders/>
            <w:vAlign w:val="center"/>
          </w:tcPr>
          <w:p>
            <w:pPr>
              <w:pStyle w:val="TableContents"/>
              <w:bidi w:val="0"/>
              <w:spacing w:before="0" w:after="0"/>
              <w:jc w:val="left"/>
              <w:rPr/>
            </w:pPr>
            <w:r>
              <w:rPr>
                <w:color w:val="000000"/>
              </w:rPr>
              <w:t> </w:t>
            </w:r>
            <w:r>
              <w:rPr/>
              <w:t xml:space="preserve"> </w:t>
            </w:r>
          </w:p>
        </w:tc>
        <w:tc>
          <w:tcPr>
            <w:tcW w:w="2011" w:type="dxa"/>
            <w:tcBorders>
              <w:top w:val="single" w:sz="8" w:space="0" w:color="000000"/>
            </w:tcBorders>
            <w:tcMar>
              <w:left w:w="0" w:type="dxa"/>
              <w:bottom w:w="0" w:type="dxa"/>
              <w:right w:w="0" w:type="dxa"/>
            </w:tcMar>
            <w:vAlign w:val="center"/>
          </w:tcPr>
          <w:p>
            <w:pPr>
              <w:pStyle w:val="TableContents"/>
              <w:bidi w:val="0"/>
              <w:spacing w:before="0" w:after="0"/>
              <w:jc w:val="left"/>
              <w:rPr>
                <w:sz w:val="20"/>
              </w:rPr>
            </w:pPr>
            <w:r>
              <w:rPr>
                <w:color w:val="000000"/>
                <w:sz w:val="20"/>
              </w:rPr>
              <w:t>James M. Till</w:t>
            </w:r>
            <w:r>
              <w:rPr>
                <w:sz w:val="20"/>
              </w:rPr>
              <w:t xml:space="preserve"> </w:t>
            </w:r>
          </w:p>
        </w:tc>
        <w:tc>
          <w:tcPr>
            <w:tcW w:w="251" w:type="dxa"/>
            <w:tcBorders/>
            <w:vAlign w:val="center"/>
          </w:tcPr>
          <w:p>
            <w:pPr>
              <w:pStyle w:val="TableContents"/>
              <w:bidi w:val="0"/>
              <w:spacing w:before="0" w:after="283"/>
              <w:jc w:val="left"/>
              <w:rPr/>
            </w:pPr>
            <w:r>
              <w:rPr/>
              <w:t xml:space="preserve">  </w:t>
            </w:r>
          </w:p>
        </w:tc>
      </w:tr>
      <w:tr>
        <w:trPr/>
        <w:tc>
          <w:tcPr>
            <w:tcW w:w="2251" w:type="dxa"/>
            <w:tcBorders/>
            <w:vAlign w:val="center"/>
          </w:tcPr>
          <w:p>
            <w:pPr>
              <w:pStyle w:val="TableContents"/>
              <w:bidi w:val="0"/>
              <w:spacing w:before="0" w:after="0"/>
              <w:jc w:val="left"/>
              <w:rPr/>
            </w:pPr>
            <w:r>
              <w:rPr>
                <w:color w:val="000000"/>
              </w:rPr>
              <w:t> </w:t>
            </w:r>
            <w:r>
              <w:rPr/>
              <w:t xml:space="preserve"> </w:t>
            </w:r>
          </w:p>
        </w:tc>
        <w:tc>
          <w:tcPr>
            <w:tcW w:w="451" w:type="dxa"/>
            <w:tcBorders/>
            <w:vAlign w:val="center"/>
          </w:tcPr>
          <w:p>
            <w:pPr>
              <w:pStyle w:val="TableContents"/>
              <w:bidi w:val="0"/>
              <w:spacing w:before="0" w:after="0"/>
              <w:jc w:val="left"/>
              <w:rPr/>
            </w:pPr>
            <w:r>
              <w:rPr>
                <w:color w:val="000000"/>
              </w:rPr>
              <w:t> </w:t>
            </w:r>
            <w:r>
              <w:rPr/>
              <w:t xml:space="preserve"> </w:t>
            </w:r>
          </w:p>
        </w:tc>
        <w:tc>
          <w:tcPr>
            <w:tcW w:w="2011" w:type="dxa"/>
            <w:tcBorders/>
            <w:tcMar>
              <w:top w:w="0" w:type="dxa"/>
              <w:left w:w="0" w:type="dxa"/>
              <w:bottom w:w="0" w:type="dxa"/>
              <w:right w:w="0" w:type="dxa"/>
            </w:tcMar>
            <w:vAlign w:val="center"/>
          </w:tcPr>
          <w:p>
            <w:pPr>
              <w:pStyle w:val="TableContents"/>
              <w:bidi w:val="0"/>
              <w:spacing w:before="0" w:after="0"/>
              <w:jc w:val="left"/>
              <w:rPr>
                <w:sz w:val="20"/>
              </w:rPr>
            </w:pPr>
            <w:r>
              <w:rPr>
                <w:color w:val="000000"/>
                <w:sz w:val="20"/>
              </w:rPr>
              <w:t>Chief Financial Officer</w:t>
            </w:r>
            <w:r>
              <w:rPr>
                <w:sz w:val="20"/>
              </w:rPr>
              <w:t xml:space="preserve"> </w:t>
            </w:r>
          </w:p>
        </w:tc>
        <w:tc>
          <w:tcPr>
            <w:tcW w:w="251" w:type="dxa"/>
            <w:tcBorders/>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jc w:val="right"/>
        <w:rPr/>
      </w:pPr>
      <w:bookmarkStart w:id="57" w:name="exhibit32-1.htm"/>
      <w:bookmarkStart w:id="58" w:name="ksexhibit321"/>
      <w:bookmarkEnd w:id="57"/>
      <w:bookmarkEnd w:id="58"/>
      <w:r>
        <w:rPr>
          <w:b/>
          <w:color w:val="000000"/>
        </w:rPr>
        <w:t>EXHIBIT 32.1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color w:val="000000"/>
        </w:rPr>
        <w:t>CERTIFICATION OF THE CHIEF EXECUTIVE OFFICER PURSUANT TO 18 U.S.C. SECTION 1350,</w:t>
      </w:r>
      <w:r>
        <w:rPr/>
        <w:t xml:space="preserve"> </w:t>
      </w:r>
    </w:p>
    <w:p>
      <w:pPr>
        <w:pStyle w:val="TextBody"/>
        <w:bidi w:val="0"/>
        <w:spacing w:before="0" w:after="0"/>
        <w:jc w:val="center"/>
        <w:rPr/>
      </w:pPr>
      <w:r>
        <w:rPr/>
        <w:t xml:space="preserve">  </w:t>
      </w:r>
    </w:p>
    <w:p>
      <w:pPr>
        <w:pStyle w:val="TextBody"/>
        <w:bidi w:val="0"/>
        <w:spacing w:before="0" w:after="0"/>
        <w:jc w:val="center"/>
        <w:rPr/>
      </w:pPr>
      <w:r>
        <w:rPr>
          <w:b/>
          <w:color w:val="000000"/>
        </w:rPr>
        <w:t>AS ADOPTED PURSUANT TO SECTION 906 OF THE SARBANES-OXLEY ACT OF 2002</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color w:val="000000"/>
        </w:rPr>
        <w:t xml:space="preserve">In connection with the annual report of </w:t>
      </w:r>
      <w:r>
        <w:rPr/>
        <w:t xml:space="preserve">Magnera Corporation (the “Registrant”) </w:t>
      </w:r>
      <w:r>
        <w:rPr>
          <w:color w:val="000000"/>
        </w:rPr>
        <w:t>on Form 10-K for the fiscal year ended September 27, 2025, as filed with the Securities and Exchange Commission on the date hereof (the "Report"), I, Curtis L. Begle, Chief Executive Officer of the Registrant, certify, pursuant to 18 U.S.C. Section 1350, as adopted pursuant to Section 906 of the Sarbanes-Oxley Act of 2002, that, to my knowledge:</w:t>
      </w: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The Report fully complies with the requirements of Section 13(a) or 15(d) of the Securities Exchange Act of 1934, as amended; and</w:t>
      </w:r>
      <w:r>
        <w:rPr/>
        <w:t xml:space="preserve">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228600" cy="175260"/>
                <wp:effectExtent l="0" t="0" r="0" b="0"/>
                <wp:wrapSquare wrapText="right"/>
                <wp:docPr id="74" name="Frame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The information contained in the Report fairly presents, in all material respects, the financial condition and results of operations of the Registrant.</w:t>
      </w:r>
      <w:r>
        <w:rPr/>
        <w:t xml:space="preserve">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228600" cy="175260"/>
                <wp:effectExtent l="0" t="0" r="0" b="0"/>
                <wp:wrapSquare wrapText="right"/>
                <wp:docPr id="75" name="Frame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(2)</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jc w:val="left"/>
        <w:rPr/>
      </w:pPr>
      <w:r>
        <w:rPr/>
        <w:t xml:space="preserve">  </w:t>
      </w:r>
    </w:p>
    <w:tbl>
      <w:tblPr>
        <w:tblW w:w="4573" w:type="dxa"/>
        <w:jc w:val="left"/>
        <w:tblInd w:w="0" w:type="dxa"/>
        <w:tblLayout w:type="fixed"/>
        <w:tblCellMar>
          <w:top w:w="0" w:type="dxa"/>
          <w:left w:w="0" w:type="dxa"/>
          <w:bottom w:w="0" w:type="dxa"/>
          <w:right w:w="0" w:type="dxa"/>
        </w:tblCellMar>
      </w:tblPr>
      <w:tblGrid>
        <w:gridCol w:w="2251"/>
        <w:gridCol w:w="2071"/>
        <w:gridCol w:w="251"/>
      </w:tblGrid>
      <w:tr>
        <w:trPr/>
        <w:tc>
          <w:tcPr>
            <w:tcW w:w="2251" w:type="dxa"/>
            <w:tcBorders/>
            <w:vAlign w:val="center"/>
          </w:tcPr>
          <w:p>
            <w:pPr>
              <w:pStyle w:val="TableContents"/>
              <w:bidi w:val="0"/>
              <w:spacing w:before="0" w:after="0"/>
              <w:jc w:val="left"/>
              <w:rPr>
                <w:sz w:val="20"/>
              </w:rPr>
            </w:pPr>
            <w:r>
              <w:rPr>
                <w:color w:val="000000"/>
                <w:sz w:val="20"/>
              </w:rPr>
              <w:t>Date: November 25, 2025</w:t>
            </w:r>
            <w:r>
              <w:rPr>
                <w:sz w:val="20"/>
              </w:rPr>
              <w:t xml:space="preserve"> </w:t>
            </w:r>
          </w:p>
        </w:tc>
        <w:tc>
          <w:tcPr>
            <w:tcW w:w="2071" w:type="dxa"/>
            <w:tcBorders>
              <w:bottom w:val="single" w:sz="8" w:space="0" w:color="000000"/>
            </w:tcBorders>
            <w:tcMar>
              <w:bottom w:w="28" w:type="dxa"/>
            </w:tcMar>
            <w:vAlign w:val="center"/>
          </w:tcPr>
          <w:p>
            <w:pPr>
              <w:pStyle w:val="TableContents"/>
              <w:bidi w:val="0"/>
              <w:spacing w:before="0" w:after="0"/>
              <w:jc w:val="left"/>
              <w:rPr>
                <w:sz w:val="20"/>
              </w:rPr>
            </w:pPr>
            <w:r>
              <w:rPr>
                <w:color w:val="000000"/>
                <w:sz w:val="20"/>
              </w:rPr>
              <w:t>/s/ Curtis L. Begle</w:t>
            </w:r>
            <w:r>
              <w:rPr>
                <w:sz w:val="20"/>
              </w:rPr>
              <w:t xml:space="preserve"> </w:t>
            </w:r>
          </w:p>
        </w:tc>
        <w:tc>
          <w:tcPr>
            <w:tcW w:w="25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r>
      <w:tr>
        <w:trPr/>
        <w:tc>
          <w:tcPr>
            <w:tcW w:w="225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top w:val="single" w:sz="8" w:space="0" w:color="000000"/>
            </w:tcBorders>
            <w:tcMar>
              <w:top w:w="28" w:type="dxa"/>
            </w:tcMar>
            <w:vAlign w:val="center"/>
          </w:tcPr>
          <w:p>
            <w:pPr>
              <w:pStyle w:val="TableContents"/>
              <w:bidi w:val="0"/>
              <w:spacing w:before="0" w:after="0"/>
              <w:jc w:val="left"/>
              <w:rPr>
                <w:sz w:val="20"/>
              </w:rPr>
            </w:pPr>
            <w:r>
              <w:rPr>
                <w:color w:val="000000"/>
                <w:sz w:val="20"/>
              </w:rPr>
              <w:t>Curtis L. Begle</w:t>
            </w:r>
            <w:r>
              <w:rPr>
                <w:sz w:val="20"/>
              </w:rPr>
              <w:t xml:space="preserve"> </w:t>
            </w:r>
          </w:p>
        </w:tc>
        <w:tc>
          <w:tcPr>
            <w:tcW w:w="25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r>
      <w:tr>
        <w:trPr/>
        <w:tc>
          <w:tcPr>
            <w:tcW w:w="225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vAlign w:val="center"/>
          </w:tcPr>
          <w:p>
            <w:pPr>
              <w:pStyle w:val="TableContents"/>
              <w:bidi w:val="0"/>
              <w:spacing w:before="0" w:after="0"/>
              <w:jc w:val="left"/>
              <w:rPr>
                <w:sz w:val="20"/>
              </w:rPr>
            </w:pPr>
            <w:r>
              <w:rPr>
                <w:color w:val="000000"/>
                <w:sz w:val="20"/>
              </w:rPr>
              <w:t>Chief Executive Officer</w:t>
            </w:r>
            <w:r>
              <w:rPr>
                <w:sz w:val="20"/>
              </w:rPr>
              <w:t xml:space="preserve"> </w:t>
            </w:r>
          </w:p>
        </w:tc>
        <w:tc>
          <w:tcPr>
            <w:tcW w:w="25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jc w:val="right"/>
        <w:rPr/>
      </w:pPr>
      <w:bookmarkStart w:id="59" w:name="exhibit32-2.htm"/>
      <w:bookmarkStart w:id="60" w:name="ksexhibit322"/>
      <w:bookmarkEnd w:id="59"/>
      <w:bookmarkEnd w:id="60"/>
      <w:r>
        <w:rPr>
          <w:b/>
          <w:color w:val="000000"/>
        </w:rPr>
        <w:t>EXHIBIT 32.2</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color w:val="000000"/>
        </w:rPr>
        <w:t>CERTIFICATION OF THE CHIEF EXECUTIVE OFFICER PURSUANT TO 18 U.S.C. SECTION 1350,</w:t>
      </w:r>
      <w:r>
        <w:rPr/>
        <w:t xml:space="preserve"> </w:t>
      </w:r>
    </w:p>
    <w:p>
      <w:pPr>
        <w:pStyle w:val="TextBody"/>
        <w:bidi w:val="0"/>
        <w:spacing w:before="0" w:after="0"/>
        <w:jc w:val="center"/>
        <w:rPr/>
      </w:pPr>
      <w:r>
        <w:rPr/>
        <w:t xml:space="preserve">  </w:t>
      </w:r>
    </w:p>
    <w:p>
      <w:pPr>
        <w:pStyle w:val="TextBody"/>
        <w:bidi w:val="0"/>
        <w:spacing w:before="0" w:after="0"/>
        <w:jc w:val="center"/>
        <w:rPr/>
      </w:pPr>
      <w:r>
        <w:rPr>
          <w:b/>
          <w:color w:val="000000"/>
        </w:rPr>
        <w:t>AS ADOPTED PURSUANT TO SECTION 906 OF THE SARBANES-OXLEY ACT OF 2002</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color w:val="000000"/>
        </w:rPr>
        <w:t xml:space="preserve">In connection with the annual report of </w:t>
      </w:r>
      <w:r>
        <w:rPr/>
        <w:t xml:space="preserve">Magnera Corporation (the “Registrant”) </w:t>
      </w:r>
      <w:r>
        <w:rPr>
          <w:color w:val="000000"/>
        </w:rPr>
        <w:t>on Form 10-K for the fiscal year ended September 27, 2025, as filed with the Securities and Exchange Commission on the date hereof (the "Report"), I, James M. Till, Chief Financial Officer of the Registrant, certify, pursuant to 18 U.S.C. Section 1350, as adopted pursuant to Section 906 of the Sarbanes-Oxley Act of 2002, that, to my knowledge:</w:t>
      </w: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The Report fully complies with the requirements of Section 13(a) or 15(d) of the Securities Exchange Act of 1934, as amended; and</w:t>
      </w:r>
      <w:r>
        <w:rPr/>
        <w:t xml:space="preserve">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228600" cy="175260"/>
                <wp:effectExtent l="0" t="0" r="0" b="0"/>
                <wp:wrapSquare wrapText="right"/>
                <wp:docPr id="76" name="Frame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The information contained in the Report fairly presents, in all material respects, the financial condition and results of operations of the Registrant.</w:t>
      </w:r>
      <w:r>
        <w:rPr/>
        <w:t xml:space="preserve">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228600" cy="175260"/>
                <wp:effectExtent l="0" t="0" r="0" b="0"/>
                <wp:wrapSquare wrapText="right"/>
                <wp:docPr id="77" name="Frame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(2)</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jc w:val="left"/>
        <w:rPr/>
      </w:pPr>
      <w:r>
        <w:rPr/>
        <w:t xml:space="preserve">  </w:t>
      </w:r>
    </w:p>
    <w:tbl>
      <w:tblPr>
        <w:tblW w:w="4513" w:type="dxa"/>
        <w:jc w:val="left"/>
        <w:tblInd w:w="0" w:type="dxa"/>
        <w:tblLayout w:type="fixed"/>
        <w:tblCellMar>
          <w:top w:w="0" w:type="dxa"/>
          <w:left w:w="0" w:type="dxa"/>
          <w:bottom w:w="0" w:type="dxa"/>
          <w:right w:w="0" w:type="dxa"/>
        </w:tblCellMar>
      </w:tblPr>
      <w:tblGrid>
        <w:gridCol w:w="2251"/>
        <w:gridCol w:w="2011"/>
        <w:gridCol w:w="251"/>
      </w:tblGrid>
      <w:tr>
        <w:trPr/>
        <w:tc>
          <w:tcPr>
            <w:tcW w:w="2251" w:type="dxa"/>
            <w:tcBorders/>
            <w:vAlign w:val="center"/>
          </w:tcPr>
          <w:p>
            <w:pPr>
              <w:pStyle w:val="TableContents"/>
              <w:bidi w:val="0"/>
              <w:spacing w:before="0" w:after="0"/>
              <w:jc w:val="left"/>
              <w:rPr>
                <w:sz w:val="20"/>
              </w:rPr>
            </w:pPr>
            <w:r>
              <w:rPr>
                <w:color w:val="000000"/>
                <w:sz w:val="20"/>
              </w:rPr>
              <w:t>Date: November 25, 2025</w:t>
            </w:r>
            <w:r>
              <w:rPr>
                <w:sz w:val="20"/>
              </w:rPr>
              <w:t xml:space="preserve"> </w:t>
            </w:r>
          </w:p>
        </w:tc>
        <w:tc>
          <w:tcPr>
            <w:tcW w:w="2011" w:type="dxa"/>
            <w:tcBorders>
              <w:bottom w:val="single" w:sz="8" w:space="0" w:color="000000"/>
            </w:tcBorders>
            <w:tcMar>
              <w:bottom w:w="28" w:type="dxa"/>
            </w:tcMar>
            <w:vAlign w:val="center"/>
          </w:tcPr>
          <w:p>
            <w:pPr>
              <w:pStyle w:val="TableContents"/>
              <w:bidi w:val="0"/>
              <w:spacing w:before="0" w:after="0"/>
              <w:jc w:val="left"/>
              <w:rPr>
                <w:sz w:val="20"/>
              </w:rPr>
            </w:pPr>
            <w:r>
              <w:rPr>
                <w:color w:val="000000"/>
                <w:sz w:val="20"/>
              </w:rPr>
              <w:t>/s/ James M. Till</w:t>
            </w:r>
            <w:r>
              <w:rPr>
                <w:sz w:val="20"/>
              </w:rPr>
              <w:t xml:space="preserve"> </w:t>
            </w:r>
          </w:p>
        </w:tc>
        <w:tc>
          <w:tcPr>
            <w:tcW w:w="25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r>
      <w:tr>
        <w:trPr/>
        <w:tc>
          <w:tcPr>
            <w:tcW w:w="225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11" w:type="dxa"/>
            <w:tcBorders>
              <w:top w:val="single" w:sz="8" w:space="0" w:color="000000"/>
            </w:tcBorders>
            <w:tcMar>
              <w:top w:w="28" w:type="dxa"/>
            </w:tcMar>
            <w:vAlign w:val="center"/>
          </w:tcPr>
          <w:p>
            <w:pPr>
              <w:pStyle w:val="TableContents"/>
              <w:bidi w:val="0"/>
              <w:spacing w:before="0" w:after="0"/>
              <w:jc w:val="left"/>
              <w:rPr>
                <w:sz w:val="20"/>
              </w:rPr>
            </w:pPr>
            <w:r>
              <w:rPr>
                <w:color w:val="000000"/>
                <w:sz w:val="20"/>
              </w:rPr>
              <w:t>James M. Till</w:t>
            </w:r>
            <w:r>
              <w:rPr>
                <w:sz w:val="20"/>
              </w:rPr>
              <w:t xml:space="preserve"> </w:t>
            </w:r>
          </w:p>
        </w:tc>
        <w:tc>
          <w:tcPr>
            <w:tcW w:w="25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r>
      <w:tr>
        <w:trPr/>
        <w:tc>
          <w:tcPr>
            <w:tcW w:w="225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11" w:type="dxa"/>
            <w:tcBorders/>
            <w:vAlign w:val="center"/>
          </w:tcPr>
          <w:p>
            <w:pPr>
              <w:pStyle w:val="TableContents"/>
              <w:bidi w:val="0"/>
              <w:spacing w:before="0" w:after="0"/>
              <w:jc w:val="left"/>
              <w:rPr>
                <w:sz w:val="20"/>
              </w:rPr>
            </w:pPr>
            <w:r>
              <w:rPr>
                <w:color w:val="000000"/>
                <w:sz w:val="20"/>
              </w:rPr>
              <w:t>Chief Financial Officer</w:t>
            </w:r>
            <w:r>
              <w:rPr>
                <w:sz w:val="20"/>
              </w:rPr>
              <w:t xml:space="preserve"> </w:t>
            </w:r>
          </w:p>
        </w:tc>
        <w:tc>
          <w:tcPr>
            <w:tcW w:w="25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41719/000110465924114009/tm2427380d4_ex3-1.htm" TargetMode="External"/><Relationship Id="rId4" Type="http://schemas.openxmlformats.org/officeDocument/2006/relationships/hyperlink" Target="https://www.sec.gov/Archives/edgar/data/41719/000110465924114009/tm2427380d4_ex3-2.htm" TargetMode="External"/><Relationship Id="rId5" Type="http://schemas.openxmlformats.org/officeDocument/2006/relationships/hyperlink" Target="https://www.sec.gov/Archives/edgar/data/41719/000110465924114009/tm2427380d4_ex4-1.htm" TargetMode="External"/><Relationship Id="rId6" Type="http://schemas.openxmlformats.org/officeDocument/2006/relationships/hyperlink" Target="https://www.sec.gov/Archives/edgar/data/41719/000110465924114009/tm2427380d4_ex4-2.htm" TargetMode="External"/><Relationship Id="rId7" Type="http://schemas.openxmlformats.org/officeDocument/2006/relationships/hyperlink" Target="https://www.sec.gov/Archives/edgar/data/41719/000110465924114009/tm2427380d4_ex4-3.htm" TargetMode="External"/><Relationship Id="rId8" Type="http://schemas.openxmlformats.org/officeDocument/2006/relationships/hyperlink" Target="https://www.sec.gov/Archives/edgar/data/41719/000110465924114009/tm2427380d4_ex4-4.htm" TargetMode="External"/><Relationship Id="rId9" Type="http://schemas.openxmlformats.org/officeDocument/2006/relationships/hyperlink" Target="https://www.sec.gov/Archives/edgar/data/41719/000110465924014952/tm245924d1_ex10-1.htm" TargetMode="External"/><Relationship Id="rId10" Type="http://schemas.openxmlformats.org/officeDocument/2006/relationships/hyperlink" Target="https://www.sec.gov/Archives/edgar/data/41719/000110465924014952/tm245924d1_ex10-2.htm" TargetMode="External"/><Relationship Id="rId11" Type="http://schemas.openxmlformats.org/officeDocument/2006/relationships/hyperlink" Target="https://www.sec.gov/Archives/edgar/data/2021031/000110465924110293/tm2426552d2_ex10-3.htm" TargetMode="External"/><Relationship Id="rId12" Type="http://schemas.openxmlformats.org/officeDocument/2006/relationships/hyperlink" Target="https://www.sec.gov/Archives/edgar/data/41719/000110465924114009/tm2427380d4_ex10-1.htm" TargetMode="External"/><Relationship Id="rId13" Type="http://schemas.openxmlformats.org/officeDocument/2006/relationships/hyperlink" Target="https://www.sec.gov/Archives/edgar/data/2021031/000110465924092250/tm2412884d9_ex10-4.htm" TargetMode="External"/><Relationship Id="rId14" Type="http://schemas.openxmlformats.org/officeDocument/2006/relationships/hyperlink" Target="https://www.sec.gov/Archives/edgar/data/1378992/000114036124047881/ef20034627_ex10-47.htm" TargetMode="External"/><Relationship Id="rId15" Type="http://schemas.openxmlformats.org/officeDocument/2006/relationships/hyperlink" Target="https://www.sec.gov/Archives/edgar/data/41719/000110465924114009/tm2427380d4_ex10-2.htm" TargetMode="External"/><Relationship Id="rId16" Type="http://schemas.openxmlformats.org/officeDocument/2006/relationships/hyperlink" Target="https://www.sec.gov/Archives/edgar/data/41719/000110465924114009/tm2427380d4_ex10-3.htm" TargetMode="External"/><Relationship Id="rId17" Type="http://schemas.openxmlformats.org/officeDocument/2006/relationships/hyperlink" Target="https://www.sec.gov/Archives/edgar/data/41719/000110465924114009/tm2427380d4_ex10-5.htm" TargetMode="External"/><Relationship Id="rId18" Type="http://schemas.openxmlformats.org/officeDocument/2006/relationships/hyperlink" Target="https://www.sec.gov/Archives/edgar/data/41719/000110465924114009/tm2427380d4_ex10-6.htm" TargetMode="External"/><Relationship Id="rId19" Type="http://schemas.openxmlformats.org/officeDocument/2006/relationships/hyperlink" Target="https://www.sec.gov/Archives/edgar/data/41719/000110465924130796/tm2431679d1_ex10-3.htm" TargetMode="External"/><Relationship Id="rId20" Type="http://schemas.openxmlformats.org/officeDocument/2006/relationships/hyperlink" Target="https://www.sec.gov/Archives/edgar/data/41719/000110465924114009/tm2427380d4_ex10-8.htm" TargetMode="External"/><Relationship Id="rId21" Type="http://schemas.openxmlformats.org/officeDocument/2006/relationships/hyperlink" Target="https://www.sec.gov/Archives/edgar/data/41719/000110465924114009/tm2427380d4_ex10-9.htm" TargetMode="External"/><Relationship Id="rId22" Type="http://schemas.openxmlformats.org/officeDocument/2006/relationships/hyperlink" Target="https://www.sec.gov/Archives/edgar/data/41719/000110465924114009/tm2427380d4_ex10-10.htm" TargetMode="External"/><Relationship Id="rId23" Type="http://schemas.openxmlformats.org/officeDocument/2006/relationships/hyperlink" Target="https://www.sec.gov/Archives/edgar/data/41719/000110465924114009/tm2427380d4_ex10-11.htm" TargetMode="External"/><Relationship Id="rId24" Type="http://schemas.openxmlformats.org/officeDocument/2006/relationships/hyperlink" Target="https://www.sec.gov/Archives/edgar/data/41719/000110465924114009/tm2427380d4_ex10-12.htm" TargetMode="External"/><Relationship Id="rId25" Type="http://schemas.openxmlformats.org/officeDocument/2006/relationships/hyperlink" Target="https://www.sec.gov/Archives/edgar/data/41719/000110465924114009/tm2427380d4_ex10-13.htm" TargetMode="External"/><Relationship Id="rId26" Type="http://schemas.openxmlformats.org/officeDocument/2006/relationships/hyperlink" Target="https://www.sec.gov/Archives/edgar/data/41719/000110465924114009/tm2427380d4_ex10-14.htm" TargetMode="External"/><Relationship Id="rId27" Type="http://schemas.openxmlformats.org/officeDocument/2006/relationships/hyperlink" Target="https://www.sec.gov/Archives/edgar/data/41719/000110465924110339/tm2426554d1_ex10-1.htm" TargetMode="External"/><Relationship Id="rId28" Type="http://schemas.openxmlformats.org/officeDocument/2006/relationships/hyperlink" Target="https://www.sec.gov/Archives/edgar/data/41719/000110465924130796/tm2431679d1_ex10-1.htm" TargetMode="External"/><Relationship Id="rId29" Type="http://schemas.openxmlformats.org/officeDocument/2006/relationships/hyperlink" Target="https://www.sec.gov/Archives/edgar/data/41719/000110465924130796/tm2431679d1_ex10-2.htm" TargetMode="External"/><Relationship Id="rId30" Type="http://schemas.openxmlformats.org/officeDocument/2006/relationships/hyperlink" Target="https://www.sec.gov/Archives/edgar/data/41719/000110465924114009/tm2427380d4_ex16-1.htm" TargetMode="External"/><Relationship Id="rId31" Type="http://schemas.openxmlformats.org/officeDocument/2006/relationships/image" Target="media/image2.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30323</Words>
  <Characters>167705</Characters>
  <CharactersWithSpaces>201613</CharactersWithSpaces>
  <Paragraphs>7439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