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24" w:before="0" w:after="20"/>
        <w:jc w:val="center"/>
        <w:rPr>
          <w:rFonts w:ascii="Times New Roman" w:hAnsi="Times New Roman"/>
          <w:sz w:val="24"/>
        </w:rPr>
      </w:pPr>
      <w:bookmarkStart w:id="0" w:name="form10q.htm"/>
      <w:bookmarkStart w:id="1" w:name="ksform10q"/>
      <w:bookmarkEnd w:id="0"/>
      <w:bookmarkEnd w:id="1"/>
      <w:r>
        <w:rPr>
          <w:rFonts w:ascii="Times New Roman" w:hAnsi="Times New Roman"/>
          <w:b/>
          <w:sz w:val="24"/>
        </w:rPr>
        <w:t>UNITED STATES</w:t>
      </w:r>
      <w:r>
        <w:rPr>
          <w:rFonts w:ascii="Times New Roman" w:hAnsi="Times New Roman"/>
          <w:sz w:val="24"/>
        </w:rPr>
        <w:t xml:space="preserve"> </w:t>
      </w:r>
    </w:p>
    <w:p>
      <w:pPr>
        <w:pStyle w:val="TextBody"/>
        <w:bidi w:val="0"/>
        <w:spacing w:lineRule="auto" w:line="324" w:before="0" w:after="0"/>
        <w:jc w:val="center"/>
        <w:rPr>
          <w:rFonts w:ascii="Times New Roman" w:hAnsi="Times New Roman"/>
          <w:sz w:val="24"/>
        </w:rPr>
      </w:pPr>
      <w:r>
        <w:rPr>
          <w:rFonts w:ascii="Times New Roman" w:hAnsi="Times New Roman"/>
          <w:b/>
          <w:sz w:val="24"/>
        </w:rPr>
        <w:t>SECURITIES AND EXCHANGE COMMISSION</w:t>
      </w:r>
      <w:r>
        <w:rPr>
          <w:rFonts w:ascii="Times New Roman" w:hAnsi="Times New Roman"/>
          <w:sz w:val="24"/>
        </w:rPr>
        <w:t xml:space="preserve"> </w:t>
      </w:r>
    </w:p>
    <w:p>
      <w:pPr>
        <w:pStyle w:val="TextBody"/>
        <w:bidi w:val="0"/>
        <w:spacing w:lineRule="auto" w:line="324" w:before="0" w:after="0"/>
        <w:jc w:val="center"/>
        <w:rPr>
          <w:rFonts w:ascii="Times New Roman" w:hAnsi="Times New Roman"/>
          <w:b/>
          <w:sz w:val="24"/>
        </w:rPr>
      </w:pPr>
      <w:r>
        <w:rPr>
          <w:rFonts w:ascii="Times New Roman" w:hAnsi="Times New Roman"/>
          <w:b/>
          <w:sz w:val="24"/>
        </w:rPr>
        <w:t>WASHINGTON, D.C. 20549</w:t>
      </w:r>
    </w:p>
    <w:p>
      <w:pPr>
        <w:pStyle w:val="TextBody"/>
        <w:bidi w:val="0"/>
        <w:spacing w:lineRule="auto" w:line="324" w:before="0" w:after="0"/>
        <w:jc w:val="center"/>
        <w:rPr/>
      </w:pPr>
      <w:r>
        <w:rPr/>
        <w:t> </w:t>
      </w:r>
    </w:p>
    <w:tbl>
      <w:tblPr>
        <w:tblW w:w="266" w:type="dxa"/>
        <w:jc w:val="left"/>
        <w:tblInd w:w="0" w:type="dxa"/>
        <w:tblLayout w:type="fixed"/>
        <w:tblCellMar>
          <w:top w:w="28" w:type="dxa"/>
          <w:left w:w="0" w:type="dxa"/>
          <w:bottom w:w="0" w:type="dxa"/>
          <w:right w:w="0" w:type="dxa"/>
        </w:tblCellMar>
      </w:tblPr>
      <w:tblGrid>
        <w:gridCol w:w="266"/>
      </w:tblGrid>
      <w:tr>
        <w:trPr/>
        <w:tc>
          <w:tcPr>
            <w:tcW w:w="266" w:type="dxa"/>
            <w:tcBorders>
              <w:top w:val="single" w:sz="2" w:space="0" w:color="000000"/>
            </w:tcBorders>
            <w:vAlign w:val="center"/>
          </w:tcPr>
          <w:p>
            <w:pPr>
              <w:pStyle w:val="TableContents"/>
              <w:bidi w:val="0"/>
              <w:spacing w:before="0" w:after="0"/>
              <w:jc w:val="left"/>
              <w:rPr/>
            </w:pPr>
            <w:r>
              <w:rPr/>
              <w:t xml:space="preserve">  </w:t>
            </w:r>
          </w:p>
        </w:tc>
      </w:tr>
    </w:tbl>
    <w:p>
      <w:pPr>
        <w:pStyle w:val="TextBody"/>
        <w:bidi w:val="0"/>
        <w:spacing w:lineRule="auto" w:line="324" w:before="60" w:after="283"/>
        <w:jc w:val="center"/>
        <w:rPr>
          <w:rFonts w:ascii="Times New Roman" w:hAnsi="Times New Roman"/>
          <w:sz w:val="24"/>
        </w:rPr>
      </w:pPr>
      <w:r>
        <w:rPr>
          <w:rFonts w:ascii="Times New Roman" w:hAnsi="Times New Roman"/>
          <w:b/>
          <w:sz w:val="24"/>
        </w:rPr>
        <w:t xml:space="preserve">FORM </w:t>
      </w:r>
      <w:r>
        <w:rPr>
          <w:rFonts w:ascii="Times New Roman" w:hAnsi="Times New Roman"/>
          <w:b/>
          <w:color w:val="000000"/>
          <w:sz w:val="24"/>
        </w:rPr>
        <w:t>10-Q</w:t>
      </w:r>
      <w:r>
        <w:rPr>
          <w:rFonts w:ascii="Times New Roman" w:hAnsi="Times New Roman"/>
          <w:sz w:val="24"/>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2" w:space="0" w:color="000000"/>
            </w:tcBorders>
            <w:vAlign w:val="center"/>
          </w:tcPr>
          <w:p>
            <w:pPr>
              <w:pStyle w:val="TableContents"/>
              <w:bidi w:val="0"/>
              <w:spacing w:before="0" w:after="0"/>
              <w:jc w:val="left"/>
              <w:rPr/>
            </w:pPr>
            <w:r>
              <w:rPr/>
              <w:t xml:space="preserve">  </w:t>
            </w:r>
          </w:p>
        </w:tc>
      </w:tr>
    </w:tbl>
    <w:p>
      <w:pPr>
        <w:pStyle w:val="TextBody"/>
        <w:bidi w:val="0"/>
        <w:spacing w:lineRule="auto" w:line="324" w:before="20" w:after="283"/>
        <w:jc w:val="left"/>
        <w:rPr/>
      </w:pPr>
      <w:r>
        <w:rPr/>
        <w:t xml:space="preserve">  </w:t>
      </w:r>
    </w:p>
    <w:tbl>
      <w:tblPr>
        <w:tblW w:w="7337" w:type="dxa"/>
        <w:jc w:val="left"/>
        <w:tblInd w:w="0" w:type="dxa"/>
        <w:tblLayout w:type="fixed"/>
        <w:tblCellMar>
          <w:top w:w="0" w:type="dxa"/>
          <w:left w:w="0" w:type="dxa"/>
          <w:bottom w:w="0" w:type="dxa"/>
          <w:right w:w="0" w:type="dxa"/>
        </w:tblCellMar>
      </w:tblPr>
      <w:tblGrid>
        <w:gridCol w:w="391"/>
        <w:gridCol w:w="6946"/>
      </w:tblGrid>
      <w:tr>
        <w:trPr/>
        <w:tc>
          <w:tcPr>
            <w:tcW w:w="391" w:type="dxa"/>
            <w:tcBorders/>
            <w:vAlign w:val="center"/>
          </w:tcPr>
          <w:p>
            <w:pPr>
              <w:pStyle w:val="TableContents"/>
              <w:bidi w:val="0"/>
              <w:spacing w:lineRule="auto" w:line="232" w:before="65" w:after="20"/>
              <w:jc w:val="left"/>
              <w:rPr/>
            </w:pPr>
            <w:r>
              <w:rPr>
                <w:color w:val="000000"/>
              </w:rPr>
              <w:t>☒</w:t>
            </w:r>
            <w:r>
              <w:rPr/>
              <w:t xml:space="preserve"> </w:t>
            </w:r>
          </w:p>
        </w:tc>
        <w:tc>
          <w:tcPr>
            <w:tcW w:w="6946" w:type="dxa"/>
            <w:tcBorders/>
            <w:vAlign w:val="center"/>
          </w:tcPr>
          <w:p>
            <w:pPr>
              <w:pStyle w:val="TableContents"/>
              <w:bidi w:val="0"/>
              <w:spacing w:lineRule="auto" w:line="232" w:before="65" w:after="20"/>
              <w:jc w:val="left"/>
              <w:rPr>
                <w:b/>
                <w:color w:val="000000"/>
                <w:sz w:val="18"/>
              </w:rPr>
            </w:pPr>
            <w:r>
              <w:rPr>
                <w:b/>
                <w:color w:val="000000"/>
                <w:sz w:val="18"/>
              </w:rPr>
              <w:t xml:space="preserve">Quarterly Report pursuant to Section 13 or 15(d) of the Securities Exchange Act of 1934 </w:t>
            </w:r>
          </w:p>
        </w:tc>
      </w:tr>
    </w:tbl>
    <w:p>
      <w:pPr>
        <w:pStyle w:val="TextBody"/>
        <w:bidi w:val="0"/>
        <w:spacing w:before="40" w:after="283"/>
        <w:jc w:val="center"/>
        <w:rPr>
          <w:rFonts w:ascii="Times New Roman" w:hAnsi="Times New Roman"/>
          <w:sz w:val="18"/>
        </w:rPr>
      </w:pPr>
      <w:r>
        <w:rPr>
          <w:rFonts w:ascii="Times New Roman" w:hAnsi="Times New Roman"/>
          <w:b/>
          <w:sz w:val="18"/>
        </w:rPr>
        <w:t xml:space="preserve">For the quarterly period ended </w:t>
      </w:r>
      <w:r>
        <w:rPr>
          <w:rFonts w:ascii="Times New Roman" w:hAnsi="Times New Roman"/>
          <w:b/>
          <w:color w:val="000000"/>
          <w:sz w:val="18"/>
        </w:rPr>
        <w:t>March 28, 2026</w:t>
      </w:r>
    </w:p>
    <w:p>
      <w:pPr>
        <w:pStyle w:val="TextBody"/>
        <w:bidi w:val="0"/>
        <w:spacing w:lineRule="auto" w:line="350" w:before="40" w:after="283"/>
        <w:jc w:val="center"/>
        <w:rPr>
          <w:rFonts w:ascii="Times New Roman" w:hAnsi="Times New Roman"/>
          <w:sz w:val="18"/>
        </w:rPr>
      </w:pPr>
      <w:r>
        <w:rPr>
          <w:rFonts w:ascii="Times New Roman" w:hAnsi="Times New Roman"/>
          <w:sz w:val="18"/>
        </w:rPr>
        <w:t xml:space="preserve">or </w:t>
      </w:r>
    </w:p>
    <w:tbl>
      <w:tblPr>
        <w:tblW w:w="7397" w:type="dxa"/>
        <w:jc w:val="left"/>
        <w:tblInd w:w="0" w:type="dxa"/>
        <w:tblLayout w:type="fixed"/>
        <w:tblCellMar>
          <w:top w:w="0" w:type="dxa"/>
          <w:left w:w="0" w:type="dxa"/>
          <w:bottom w:w="0" w:type="dxa"/>
          <w:right w:w="0" w:type="dxa"/>
        </w:tblCellMar>
      </w:tblPr>
      <w:tblGrid>
        <w:gridCol w:w="391"/>
        <w:gridCol w:w="7006"/>
      </w:tblGrid>
      <w:tr>
        <w:trPr/>
        <w:tc>
          <w:tcPr>
            <w:tcW w:w="391" w:type="dxa"/>
            <w:tcBorders/>
            <w:vAlign w:val="center"/>
          </w:tcPr>
          <w:p>
            <w:pPr>
              <w:pStyle w:val="TableContents"/>
              <w:bidi w:val="0"/>
              <w:spacing w:lineRule="auto" w:line="232" w:before="65" w:after="20"/>
              <w:jc w:val="left"/>
              <w:rPr/>
            </w:pPr>
            <w:r>
              <w:rPr>
                <w:color w:val="000000"/>
              </w:rPr>
              <w:t>☐</w:t>
            </w:r>
            <w:r>
              <w:rPr/>
              <w:t xml:space="preserve"> </w:t>
            </w:r>
          </w:p>
        </w:tc>
        <w:tc>
          <w:tcPr>
            <w:tcW w:w="7006" w:type="dxa"/>
            <w:tcBorders/>
            <w:vAlign w:val="center"/>
          </w:tcPr>
          <w:p>
            <w:pPr>
              <w:pStyle w:val="TableContents"/>
              <w:bidi w:val="0"/>
              <w:spacing w:lineRule="auto" w:line="232" w:before="65" w:after="20"/>
              <w:jc w:val="left"/>
              <w:rPr>
                <w:b/>
                <w:color w:val="000000"/>
                <w:sz w:val="18"/>
              </w:rPr>
            </w:pPr>
            <w:r>
              <w:rPr>
                <w:b/>
                <w:color w:val="000000"/>
                <w:sz w:val="18"/>
              </w:rPr>
              <w:t xml:space="preserve">Transition Report Pursuant to Section 13 or 15(d) of the Securities Exchange Act of 1934 </w:t>
            </w:r>
          </w:p>
        </w:tc>
      </w:tr>
    </w:tbl>
    <w:p>
      <w:pPr>
        <w:pStyle w:val="TextBody"/>
        <w:bidi w:val="0"/>
        <w:spacing w:before="40" w:after="283"/>
        <w:jc w:val="center"/>
        <w:rPr>
          <w:rFonts w:ascii="Times New Roman" w:hAnsi="Times New Roman"/>
          <w:sz w:val="18"/>
        </w:rPr>
      </w:pPr>
      <w:r>
        <w:rPr>
          <w:rFonts w:ascii="Times New Roman" w:hAnsi="Times New Roman"/>
          <w:b/>
          <w:sz w:val="18"/>
        </w:rPr>
        <w:t>For the transition period from to</w:t>
      </w:r>
      <w:r>
        <w:rPr>
          <w:rFonts w:ascii="Times New Roman" w:hAnsi="Times New Roman"/>
          <w:sz w:val="18"/>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2" w:space="0" w:color="000000"/>
            </w:tcBorders>
            <w:vAlign w:val="center"/>
          </w:tcPr>
          <w:p>
            <w:pPr>
              <w:pStyle w:val="TableContents"/>
              <w:bidi w:val="0"/>
              <w:spacing w:before="0" w:after="0"/>
              <w:jc w:val="left"/>
              <w:rPr/>
            </w:pPr>
            <w:r>
              <w:rPr/>
              <w:t xml:space="preserve">  </w:t>
            </w:r>
          </w:p>
        </w:tc>
      </w:tr>
    </w:tbl>
    <w:p>
      <w:pPr>
        <w:pStyle w:val="TextBody"/>
        <w:bidi w:val="0"/>
        <w:spacing w:before="40" w:after="283"/>
        <w:jc w:val="center"/>
        <w:rPr/>
      </w:pPr>
      <w:r>
        <w:rPr/>
        <w:drawing>
          <wp:inline distT="0" distB="0" distL="0" distR="0">
            <wp:extent cx="21050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5025" cy="552450"/>
                    </a:xfrm>
                    <a:prstGeom prst="rect">
                      <a:avLst/>
                    </a:prstGeom>
                  </pic:spPr>
                </pic:pic>
              </a:graphicData>
            </a:graphic>
          </wp:inline>
        </w:drawing>
      </w:r>
      <w:r>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8" w:space="0" w:color="000000"/>
            </w:tcBorders>
            <w:vAlign w:val="center"/>
          </w:tcPr>
          <w:p>
            <w:pPr>
              <w:pStyle w:val="TableContents"/>
              <w:bidi w:val="0"/>
              <w:spacing w:before="0" w:after="283"/>
              <w:jc w:val="left"/>
              <w:rPr/>
            </w:pPr>
            <w:r>
              <w:rPr/>
              <w:t xml:space="preserve">  </w:t>
            </w:r>
          </w:p>
        </w:tc>
      </w:tr>
    </w:tbl>
    <w:p>
      <w:pPr>
        <w:pStyle w:val="TextBody"/>
        <w:bidi w:val="0"/>
        <w:spacing w:lineRule="auto" w:line="324" w:before="60" w:after="283"/>
        <w:jc w:val="center"/>
        <w:rPr>
          <w:rFonts w:ascii="Times New Roman" w:hAnsi="Times New Roman"/>
          <w:sz w:val="18"/>
        </w:rPr>
      </w:pPr>
      <w:r>
        <w:rPr>
          <w:rFonts w:ascii="Times New Roman" w:hAnsi="Times New Roman"/>
          <w:color w:val="000000"/>
          <w:sz w:val="16"/>
        </w:rPr>
        <w:t>9335 Harris Corners Pkwy</w:t>
      </w:r>
      <w:r>
        <w:rPr>
          <w:rFonts w:ascii="Times New Roman" w:hAnsi="Times New Roman"/>
          <w:sz w:val="16"/>
        </w:rPr>
        <w:t xml:space="preserve">, </w:t>
      </w:r>
      <w:r>
        <w:rPr>
          <w:rFonts w:ascii="Times New Roman" w:hAnsi="Times New Roman"/>
          <w:color w:val="000000"/>
          <w:sz w:val="16"/>
        </w:rPr>
        <w:t>Suite 300</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color w:val="000000"/>
          <w:sz w:val="16"/>
        </w:rPr>
        <w:t>Charlotte</w:t>
      </w:r>
      <w:r>
        <w:rPr>
          <w:rFonts w:ascii="Times New Roman" w:hAnsi="Times New Roman"/>
          <w:sz w:val="16"/>
        </w:rPr>
        <w:t xml:space="preserve">, </w:t>
      </w:r>
      <w:r>
        <w:rPr>
          <w:rFonts w:ascii="Times New Roman" w:hAnsi="Times New Roman"/>
          <w:color w:val="000000"/>
          <w:sz w:val="16"/>
        </w:rPr>
        <w:t>North Carolina</w:t>
      </w:r>
      <w:r>
        <w:rPr>
          <w:rFonts w:ascii="Times New Roman" w:hAnsi="Times New Roman"/>
          <w:sz w:val="18"/>
        </w:rPr>
        <w:t> </w:t>
      </w:r>
      <w:r>
        <w:rPr>
          <w:rFonts w:ascii="Times New Roman" w:hAnsi="Times New Roman"/>
          <w:color w:val="000000"/>
          <w:sz w:val="16"/>
        </w:rPr>
        <w:t>28269</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(Address of principal executive offices)</w:t>
      </w:r>
      <w:r>
        <w:rPr>
          <w:rFonts w:ascii="Times New Roman" w:hAnsi="Times New Roman"/>
          <w:sz w:val="18"/>
        </w:rPr>
        <w:t xml:space="preserve"> </w:t>
      </w:r>
    </w:p>
    <w:p>
      <w:pPr>
        <w:pStyle w:val="TextBody"/>
        <w:bidi w:val="0"/>
        <w:spacing w:lineRule="auto" w:line="324" w:before="100" w:after="283"/>
        <w:jc w:val="center"/>
        <w:rPr>
          <w:rFonts w:ascii="Times New Roman" w:hAnsi="Times New Roman"/>
          <w:sz w:val="18"/>
        </w:rPr>
      </w:pPr>
      <w:r>
        <w:rPr>
          <w:rFonts w:ascii="Times New Roman" w:hAnsi="Times New Roman"/>
          <w:sz w:val="16"/>
        </w:rPr>
        <w:t>(</w:t>
      </w:r>
      <w:r>
        <w:rPr>
          <w:rFonts w:ascii="Times New Roman" w:hAnsi="Times New Roman"/>
          <w:color w:val="000000"/>
          <w:sz w:val="16"/>
        </w:rPr>
        <w:t>866</w:t>
      </w:r>
      <w:r>
        <w:rPr>
          <w:rFonts w:ascii="Times New Roman" w:hAnsi="Times New Roman"/>
          <w:sz w:val="16"/>
        </w:rPr>
        <w:t xml:space="preserve">) </w:t>
      </w:r>
      <w:r>
        <w:rPr>
          <w:rFonts w:ascii="Times New Roman" w:hAnsi="Times New Roman"/>
          <w:color w:val="000000"/>
          <w:sz w:val="16"/>
        </w:rPr>
        <w:t>744-7380</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(Registrant's telephone number, including area code)</w:t>
      </w:r>
      <w:r>
        <w:rPr>
          <w:rFonts w:ascii="Times New Roman" w:hAnsi="Times New Roman"/>
          <w:sz w:val="18"/>
        </w:rPr>
        <w:t xml:space="preserve"> </w:t>
      </w:r>
    </w:p>
    <w:p>
      <w:pPr>
        <w:pStyle w:val="TextBody"/>
        <w:bidi w:val="0"/>
        <w:spacing w:lineRule="auto" w:line="324" w:before="0" w:after="0"/>
        <w:jc w:val="left"/>
        <w:rPr/>
      </w:pPr>
      <w:r>
        <w:rPr/>
        <w:t xml:space="preserve">  </w:t>
      </w:r>
    </w:p>
    <w:tbl>
      <w:tblPr>
        <w:tblW w:w="7777" w:type="dxa"/>
        <w:jc w:val="left"/>
        <w:tblInd w:w="0" w:type="dxa"/>
        <w:tblLayout w:type="fixed"/>
        <w:tblCellMar>
          <w:top w:w="28" w:type="dxa"/>
          <w:left w:w="28" w:type="dxa"/>
          <w:bottom w:w="28" w:type="dxa"/>
          <w:right w:w="28" w:type="dxa"/>
        </w:tblCellMar>
      </w:tblPr>
      <w:tblGrid>
        <w:gridCol w:w="1246"/>
        <w:gridCol w:w="146"/>
        <w:gridCol w:w="2431"/>
        <w:gridCol w:w="146"/>
        <w:gridCol w:w="1396"/>
        <w:gridCol w:w="146"/>
        <w:gridCol w:w="2266"/>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246" w:type="dxa"/>
            <w:tcBorders/>
            <w:vAlign w:val="center"/>
          </w:tcPr>
          <w:p>
            <w:pPr>
              <w:pStyle w:val="TableContents"/>
              <w:bidi w:val="0"/>
              <w:spacing w:before="0" w:after="283"/>
              <w:jc w:val="center"/>
              <w:rPr/>
            </w:pPr>
            <w:r>
              <w:rPr>
                <w:sz w:val="16"/>
              </w:rPr>
              <w:t>Commission file</w:t>
              <w:br/>
              <w:t>number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sz w:val="16"/>
              </w:rPr>
              <w:t>Exact name of registrant as</w:t>
              <w:br/>
              <w:t>specified in its charter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sz w:val="16"/>
              </w:rPr>
              <w:t>IRS Employer</w:t>
              <w:br/>
              <w:t>Identification No.</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sz w:val="16"/>
              </w:rPr>
              <w:t xml:space="preserve">State or other jurisdiction of </w:t>
              <w:br/>
              <w:t>incorporation or organization</w:t>
            </w:r>
            <w:r>
              <w:rPr/>
              <w:t xml:space="preserve"> </w:t>
            </w:r>
          </w:p>
        </w:tc>
      </w:tr>
      <w:tr>
        <w:trPr/>
        <w:tc>
          <w:tcPr>
            <w:tcW w:w="12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b/>
                <w:color w:val="000000"/>
              </w:rPr>
              <w:t>1-03560</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b/>
                <w:color w:val="000000"/>
              </w:rPr>
              <w:t>Magnera Corporation</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b/>
                <w:color w:val="000000"/>
              </w:rPr>
              <w:t>23-0628360</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b/>
                <w:color w:val="000000"/>
              </w:rPr>
              <w:t>Pennsylvania</w:t>
            </w:r>
            <w:r>
              <w:rPr/>
              <w:t xml:space="preserve"> </w:t>
            </w:r>
          </w:p>
        </w:tc>
      </w:tr>
    </w:tbl>
    <w:p>
      <w:pPr>
        <w:pStyle w:val="TextBody"/>
        <w:bidi w:val="0"/>
        <w:spacing w:lineRule="auto" w:line="324" w:before="0" w:after="0"/>
        <w:jc w:val="center"/>
        <w:rPr/>
      </w:pPr>
      <w:r>
        <w:rPr/>
        <w:t> </w:t>
      </w:r>
    </w:p>
    <w:p>
      <w:pPr>
        <w:pStyle w:val="TextBody"/>
        <w:bidi w:val="0"/>
        <w:spacing w:lineRule="auto" w:line="324" w:before="120" w:after="283"/>
        <w:jc w:val="left"/>
        <w:rPr>
          <w:rFonts w:ascii="Times New Roman" w:hAnsi="Times New Roman"/>
          <w:sz w:val="18"/>
        </w:rPr>
      </w:pPr>
      <w:r>
        <w:rPr>
          <w:rFonts w:ascii="Times New Roman" w:hAnsi="Times New Roman"/>
          <w:sz w:val="18"/>
        </w:rPr>
        <w:t xml:space="preserve">Securities registered pursuant to Section 12(b) of the Act: </w:t>
      </w:r>
    </w:p>
    <w:p>
      <w:pPr>
        <w:pStyle w:val="TextBody"/>
        <w:bidi w:val="0"/>
        <w:spacing w:lineRule="auto" w:line="324" w:before="0" w:after="0"/>
        <w:jc w:val="left"/>
        <w:rPr/>
      </w:pPr>
      <w:r>
        <w:rPr/>
        <w:t xml:space="preserve">  </w:t>
      </w:r>
    </w:p>
    <w:tbl>
      <w:tblPr>
        <w:tblW w:w="8530" w:type="dxa"/>
        <w:jc w:val="left"/>
        <w:tblInd w:w="0" w:type="dxa"/>
        <w:tblLayout w:type="fixed"/>
        <w:tblCellMar>
          <w:top w:w="28" w:type="dxa"/>
          <w:left w:w="28" w:type="dxa"/>
          <w:bottom w:w="28" w:type="dxa"/>
          <w:right w:w="28" w:type="dxa"/>
        </w:tblCellMar>
      </w:tblPr>
      <w:tblGrid>
        <w:gridCol w:w="3346"/>
        <w:gridCol w:w="206"/>
        <w:gridCol w:w="1486"/>
        <w:gridCol w:w="206"/>
        <w:gridCol w:w="3286"/>
      </w:tblGrid>
      <w:tr>
        <w:trPr/>
        <w:tc>
          <w:tcPr>
            <w:tcW w:w="334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3286" w:type="dxa"/>
            <w:tcBorders/>
            <w:vAlign w:val="center"/>
          </w:tcPr>
          <w:p>
            <w:pPr>
              <w:pStyle w:val="TableContents"/>
              <w:bidi w:val="0"/>
              <w:spacing w:before="0" w:after="283"/>
              <w:jc w:val="left"/>
              <w:rPr/>
            </w:pPr>
            <w:r>
              <w:rPr/>
              <w:t> </w:t>
            </w:r>
          </w:p>
        </w:tc>
      </w:tr>
      <w:tr>
        <w:trPr/>
        <w:tc>
          <w:tcPr>
            <w:tcW w:w="334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sz w:val="16"/>
              </w:rPr>
              <w:t>Title of each class</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8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sz w:val="16"/>
              </w:rPr>
              <w:t>Trading Symbol(s)</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28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sz w:val="16"/>
              </w:rPr>
              <w:t>Name of each exchange on which registered</w:t>
            </w:r>
            <w:r>
              <w:rPr/>
              <w:t xml:space="preserve"> </w:t>
            </w:r>
          </w:p>
        </w:tc>
      </w:tr>
      <w:tr>
        <w:trPr/>
        <w:tc>
          <w:tcPr>
            <w:tcW w:w="3346" w:type="dxa"/>
            <w:tcBorders>
              <w:top w:val="single" w:sz="8" w:space="0" w:color="000000"/>
            </w:tcBorders>
            <w:tcMar>
              <w:left w:w="0" w:type="dxa"/>
              <w:bottom w:w="0" w:type="dxa"/>
              <w:right w:w="0" w:type="dxa"/>
            </w:tcMar>
            <w:vAlign w:val="center"/>
          </w:tcPr>
          <w:p>
            <w:pPr>
              <w:pStyle w:val="TableContents"/>
              <w:bidi w:val="0"/>
              <w:spacing w:before="0" w:after="0"/>
              <w:jc w:val="center"/>
              <w:rPr>
                <w:b/>
                <w:sz w:val="18"/>
              </w:rPr>
            </w:pPr>
            <w:r>
              <w:rPr>
                <w:b/>
                <w:sz w:val="18"/>
              </w:rPr>
              <w:t>Common Stock, $0.01 par value per share</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486" w:type="dxa"/>
            <w:tcBorders>
              <w:top w:val="single" w:sz="8" w:space="0" w:color="000000"/>
            </w:tcBorders>
            <w:tcMar>
              <w:left w:w="0" w:type="dxa"/>
              <w:bottom w:w="0" w:type="dxa"/>
              <w:right w:w="0" w:type="dxa"/>
            </w:tcMar>
            <w:vAlign w:val="center"/>
          </w:tcPr>
          <w:p>
            <w:pPr>
              <w:pStyle w:val="TableContents"/>
              <w:bidi w:val="0"/>
              <w:spacing w:before="0" w:after="0"/>
              <w:jc w:val="center"/>
              <w:rPr/>
            </w:pPr>
            <w:r>
              <w:rPr>
                <w:b/>
                <w:sz w:val="18"/>
              </w:rPr>
              <w:t>MAGN</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286" w:type="dxa"/>
            <w:tcBorders>
              <w:top w:val="single" w:sz="8" w:space="0" w:color="000000"/>
            </w:tcBorders>
            <w:tcMar>
              <w:left w:w="0" w:type="dxa"/>
              <w:bottom w:w="0" w:type="dxa"/>
              <w:right w:w="0" w:type="dxa"/>
            </w:tcMar>
            <w:vAlign w:val="center"/>
          </w:tcPr>
          <w:p>
            <w:pPr>
              <w:pStyle w:val="TableContents"/>
              <w:bidi w:val="0"/>
              <w:spacing w:before="0" w:after="0"/>
              <w:jc w:val="center"/>
              <w:rPr/>
            </w:pPr>
            <w:r>
              <w:rPr>
                <w:b/>
                <w:sz w:val="18"/>
              </w:rPr>
              <w:t>New York Stock Exchange</w:t>
            </w:r>
            <w:r>
              <w:rPr/>
              <w:t xml:space="preserve"> </w:t>
            </w:r>
          </w:p>
        </w:tc>
      </w:tr>
    </w:tbl>
    <w:p>
      <w:pPr>
        <w:pStyle w:val="TextBody"/>
        <w:bidi w:val="0"/>
        <w:spacing w:lineRule="auto" w:line="324" w:before="0" w:after="20"/>
        <w:jc w:val="center"/>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18"/>
        </w:rPr>
        <w:t>Yes</w:t>
      </w:r>
      <w:r>
        <w:rPr>
          <w:rFonts w:ascii="Times New Roman" w:hAnsi="Times New Roman"/>
          <w:sz w:val="18"/>
        </w:rPr>
        <w:t xml:space="preserve"> ☒ No ☐. </w:t>
      </w:r>
    </w:p>
    <w:p>
      <w:pPr>
        <w:pStyle w:val="TextBody"/>
        <w:bidi w:val="0"/>
        <w:spacing w:before="0" w:after="0"/>
        <w:ind w:left="0" w:right="543" w:hanging="0"/>
        <w:jc w:val="both"/>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olor w:val="000000"/>
          <w:sz w:val="18"/>
        </w:rPr>
        <w:t>Yes</w:t>
      </w:r>
      <w:r>
        <w:rPr>
          <w:rFonts w:ascii="Times New Roman" w:hAnsi="Times New Roman"/>
          <w:sz w:val="18"/>
        </w:rPr>
        <w:t xml:space="preserve"> ☒ No ☐.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 reporting company or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643"/>
        <w:gridCol w:w="425"/>
        <w:gridCol w:w="1355"/>
        <w:gridCol w:w="425"/>
        <w:gridCol w:w="1746"/>
        <w:gridCol w:w="425"/>
        <w:gridCol w:w="1664"/>
        <w:gridCol w:w="425"/>
        <w:gridCol w:w="1712"/>
        <w:gridCol w:w="385"/>
      </w:tblGrid>
      <w:tr>
        <w:trPr/>
        <w:tc>
          <w:tcPr>
            <w:tcW w:w="1643" w:type="dxa"/>
            <w:tcBorders/>
            <w:vAlign w:val="center"/>
          </w:tcPr>
          <w:p>
            <w:pPr>
              <w:pStyle w:val="TableContents"/>
              <w:bidi w:val="0"/>
              <w:spacing w:lineRule="auto" w:line="321" w:before="65" w:after="20"/>
              <w:jc w:val="left"/>
              <w:rPr/>
            </w:pPr>
            <w:r>
              <w:rPr>
                <w:color w:val="000000"/>
                <w:sz w:val="16"/>
              </w:rPr>
              <w:t>Large Accelerated Filer</w:t>
            </w:r>
            <w:r>
              <w:rPr/>
              <w:t xml:space="preserve"> </w:t>
            </w:r>
          </w:p>
        </w:tc>
        <w:tc>
          <w:tcPr>
            <w:tcW w:w="425" w:type="dxa"/>
            <w:tcBorders/>
            <w:vAlign w:val="center"/>
          </w:tcPr>
          <w:p>
            <w:pPr>
              <w:pStyle w:val="TableContents"/>
              <w:bidi w:val="0"/>
              <w:spacing w:lineRule="auto" w:line="321" w:before="65" w:after="20"/>
              <w:jc w:val="center"/>
              <w:rPr/>
            </w:pPr>
            <w:r>
              <w:rPr>
                <w:color w:val="000000"/>
              </w:rPr>
              <w:t>☐</w:t>
            </w:r>
            <w:r>
              <w:rPr/>
              <w:t xml:space="preserve"> </w:t>
            </w:r>
          </w:p>
        </w:tc>
        <w:tc>
          <w:tcPr>
            <w:tcW w:w="1355" w:type="dxa"/>
            <w:tcBorders/>
            <w:vAlign w:val="center"/>
          </w:tcPr>
          <w:p>
            <w:pPr>
              <w:pStyle w:val="TableContents"/>
              <w:bidi w:val="0"/>
              <w:spacing w:lineRule="auto" w:line="321" w:before="65" w:after="20"/>
              <w:jc w:val="left"/>
              <w:rPr/>
            </w:pPr>
            <w:r>
              <w:rPr>
                <w:color w:val="000000"/>
                <w:sz w:val="16"/>
              </w:rPr>
              <w:t>Accelerated filer</w:t>
            </w:r>
            <w:r>
              <w:rPr/>
              <w:t xml:space="preserve"> </w:t>
            </w:r>
          </w:p>
        </w:tc>
        <w:tc>
          <w:tcPr>
            <w:tcW w:w="425" w:type="dxa"/>
            <w:tcBorders/>
            <w:vAlign w:val="center"/>
          </w:tcPr>
          <w:p>
            <w:pPr>
              <w:pStyle w:val="TableContents"/>
              <w:bidi w:val="0"/>
              <w:spacing w:lineRule="auto" w:line="321" w:before="65" w:after="20"/>
              <w:jc w:val="center"/>
              <w:rPr/>
            </w:pPr>
            <w:r>
              <w:rPr>
                <w:color w:val="000000"/>
              </w:rPr>
              <w:t>☒</w:t>
            </w:r>
            <w:r>
              <w:rPr/>
              <w:t xml:space="preserve"> </w:t>
            </w:r>
          </w:p>
        </w:tc>
        <w:tc>
          <w:tcPr>
            <w:tcW w:w="1746" w:type="dxa"/>
            <w:tcBorders/>
            <w:vAlign w:val="center"/>
          </w:tcPr>
          <w:p>
            <w:pPr>
              <w:pStyle w:val="TableContents"/>
              <w:bidi w:val="0"/>
              <w:spacing w:lineRule="auto" w:line="321" w:before="65" w:after="20"/>
              <w:jc w:val="left"/>
              <w:rPr/>
            </w:pPr>
            <w:r>
              <w:rPr>
                <w:color w:val="000000"/>
                <w:sz w:val="16"/>
              </w:rPr>
              <w:t>Non-accelerated filer</w:t>
            </w:r>
            <w:r>
              <w:rPr/>
              <w:t xml:space="preserve"> </w:t>
            </w:r>
          </w:p>
        </w:tc>
        <w:tc>
          <w:tcPr>
            <w:tcW w:w="425" w:type="dxa"/>
            <w:tcBorders/>
            <w:vAlign w:val="center"/>
          </w:tcPr>
          <w:p>
            <w:pPr>
              <w:pStyle w:val="TableContents"/>
              <w:bidi w:val="0"/>
              <w:spacing w:lineRule="auto" w:line="321" w:before="65" w:after="20"/>
              <w:jc w:val="center"/>
              <w:rPr/>
            </w:pPr>
            <w:r>
              <w:rPr>
                <w:color w:val="000000"/>
              </w:rPr>
              <w:t>☐</w:t>
            </w:r>
            <w:r>
              <w:rPr/>
              <w:t xml:space="preserve"> </w:t>
            </w:r>
          </w:p>
        </w:tc>
        <w:tc>
          <w:tcPr>
            <w:tcW w:w="1664" w:type="dxa"/>
            <w:tcBorders/>
            <w:vAlign w:val="center"/>
          </w:tcPr>
          <w:p>
            <w:pPr>
              <w:pStyle w:val="TableContents"/>
              <w:bidi w:val="0"/>
              <w:spacing w:lineRule="auto" w:line="321" w:before="65" w:after="20"/>
              <w:jc w:val="left"/>
              <w:rPr>
                <w:color w:val="000000"/>
                <w:sz w:val="16"/>
              </w:rPr>
            </w:pPr>
            <w:r>
              <w:rPr>
                <w:color w:val="000000"/>
                <w:sz w:val="16"/>
              </w:rPr>
              <w:t xml:space="preserve">Smaller reporting company </w:t>
            </w:r>
          </w:p>
        </w:tc>
        <w:tc>
          <w:tcPr>
            <w:tcW w:w="425" w:type="dxa"/>
            <w:tcBorders/>
            <w:vAlign w:val="center"/>
          </w:tcPr>
          <w:p>
            <w:pPr>
              <w:pStyle w:val="TableContents"/>
              <w:bidi w:val="0"/>
              <w:spacing w:lineRule="auto" w:line="321" w:before="65" w:after="20"/>
              <w:jc w:val="center"/>
              <w:rPr/>
            </w:pPr>
            <w:r>
              <w:rPr>
                <w:color w:val="000000"/>
              </w:rPr>
              <w:t>☐</w:t>
            </w:r>
            <w:r>
              <w:rPr/>
              <w:t xml:space="preserve"> </w:t>
            </w:r>
          </w:p>
        </w:tc>
        <w:tc>
          <w:tcPr>
            <w:tcW w:w="1712" w:type="dxa"/>
            <w:tcBorders/>
            <w:vAlign w:val="center"/>
          </w:tcPr>
          <w:p>
            <w:pPr>
              <w:pStyle w:val="TableContents"/>
              <w:bidi w:val="0"/>
              <w:spacing w:lineRule="auto" w:line="321" w:before="65" w:after="20"/>
              <w:jc w:val="left"/>
              <w:rPr/>
            </w:pPr>
            <w:r>
              <w:rPr>
                <w:color w:val="000000"/>
                <w:sz w:val="16"/>
              </w:rPr>
              <w:t>Emerging growth company</w:t>
            </w:r>
            <w:r>
              <w:rPr/>
              <w:t xml:space="preserve"> </w:t>
            </w:r>
          </w:p>
        </w:tc>
        <w:tc>
          <w:tcPr>
            <w:tcW w:w="385" w:type="dxa"/>
            <w:tcBorders/>
            <w:vAlign w:val="center"/>
          </w:tcPr>
          <w:p>
            <w:pPr>
              <w:pStyle w:val="TableContents"/>
              <w:bidi w:val="0"/>
              <w:spacing w:lineRule="auto" w:line="321" w:before="65" w:after="20"/>
              <w:jc w:val="center"/>
              <w:rPr/>
            </w:pPr>
            <w:r>
              <w:rPr>
                <w:color w:val="000000"/>
              </w:rPr>
              <w:t>☐</w:t>
            </w:r>
            <w:r>
              <w:rPr/>
              <w:t xml:space="preserve"> </w:t>
            </w:r>
          </w:p>
        </w:tc>
      </w:tr>
      <w:tr>
        <w:trPr/>
        <w:tc>
          <w:tcPr>
            <w:tcW w:w="9820" w:type="dxa"/>
            <w:gridSpan w:val="9"/>
            <w:tcBorders/>
            <w:vAlign w:val="center"/>
          </w:tcPr>
          <w:p>
            <w:pPr>
              <w:pStyle w:val="TableContents"/>
              <w:bidi w:val="0"/>
              <w:spacing w:before="0" w:after="0"/>
              <w:jc w:val="center"/>
              <w:rPr/>
            </w:pPr>
            <w:r>
              <w:rPr>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t xml:space="preserve"> </w:t>
            </w:r>
          </w:p>
        </w:tc>
        <w:tc>
          <w:tcPr>
            <w:tcW w:w="385" w:type="dxa"/>
            <w:tcBorders/>
            <w:vAlign w:val="center"/>
          </w:tcPr>
          <w:p>
            <w:pPr>
              <w:pStyle w:val="TableContents"/>
              <w:bidi w:val="0"/>
              <w:spacing w:lineRule="auto" w:line="321" w:before="65" w:after="20"/>
              <w:jc w:val="center"/>
              <w:rPr/>
            </w:pPr>
            <w:r>
              <w:rPr>
                <w:color w:val="000000"/>
              </w:rPr>
              <w:t>☐</w:t>
            </w:r>
            <w:r>
              <w:rPr/>
              <w:t xml:space="preserve"> </w:t>
            </w:r>
          </w:p>
        </w:tc>
      </w:tr>
    </w:tbl>
    <w:p>
      <w:pPr>
        <w:pStyle w:val="TextBody"/>
        <w:bidi w:val="0"/>
        <w:spacing w:lineRule="auto" w:line="324" w:before="0" w:after="0"/>
        <w:jc w:val="both"/>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Indicate by check mark whether the registrant is a shell company (as defined in Rule 12b-2 of the Exchange Act) Yes </w:t>
      </w:r>
      <w:r>
        <w:rPr>
          <w:rFonts w:ascii="Times New Roman" w:hAnsi="Times New Roman"/>
          <w:color w:val="000000"/>
          <w:sz w:val="18"/>
        </w:rPr>
        <w:t>☐</w:t>
      </w:r>
      <w:r>
        <w:rPr>
          <w:rFonts w:ascii="Times New Roman" w:hAnsi="Times New Roman"/>
          <w:sz w:val="18"/>
        </w:rPr>
        <w:t xml:space="preserve"> No </w:t>
      </w:r>
      <w:r>
        <w:rPr>
          <w:rFonts w:ascii="Times New Roman" w:hAnsi="Times New Roman"/>
          <w:color w:val="000000"/>
          <w:sz w:val="18"/>
        </w:rPr>
        <w:t>☒</w:t>
      </w:r>
      <w:r>
        <w:rPr>
          <w:rFonts w:ascii="Times New Roman" w:hAnsi="Times New Roman"/>
          <w:sz w:val="18"/>
        </w:rPr>
        <w:t xml:space="preserve">. </w:t>
      </w:r>
    </w:p>
    <w:p>
      <w:pPr>
        <w:pStyle w:val="TextBody"/>
        <w:bidi w:val="0"/>
        <w:spacing w:lineRule="auto" w:line="324" w:before="120" w:after="283"/>
        <w:jc w:val="center"/>
        <w:rPr>
          <w:rFonts w:ascii="Times New Roman" w:hAnsi="Times New Roman"/>
          <w:sz w:val="18"/>
        </w:rPr>
      </w:pPr>
      <w:r>
        <w:rPr>
          <w:rFonts w:ascii="Times New Roman" w:hAnsi="Times New Roman"/>
          <w:sz w:val="16"/>
        </w:rPr>
        <w:t>Common Stock outstanding on May 7, 2026</w:t>
      </w:r>
      <w:r>
        <w:rPr>
          <w:rFonts w:ascii="Times New Roman" w:hAnsi="Times New Roman"/>
          <w:sz w:val="18"/>
        </w:rPr>
        <w:t> </w:t>
      </w:r>
      <w:r>
        <w:rPr>
          <w:rFonts w:ascii="Times New Roman" w:hAnsi="Times New Roman"/>
          <w:sz w:val="16"/>
        </w:rPr>
        <w:t xml:space="preserve">totaled </w:t>
      </w:r>
      <w:r>
        <w:rPr>
          <w:rFonts w:ascii="Times New Roman" w:hAnsi="Times New Roman"/>
          <w:color w:val="000000"/>
          <w:sz w:val="16"/>
        </w:rPr>
        <w:t>35.8</w:t>
      </w:r>
      <w:r>
        <w:rPr>
          <w:rFonts w:ascii="Times New Roman" w:hAnsi="Times New Roman"/>
          <w:sz w:val="18"/>
        </w:rPr>
        <w:t xml:space="preserve"> </w:t>
      </w:r>
      <w:r>
        <w:rPr>
          <w:rFonts w:ascii="Times New Roman" w:hAnsi="Times New Roman"/>
          <w:sz w:val="16"/>
        </w:rPr>
        <w:t>million shares.</w:t>
      </w:r>
      <w:r>
        <w:rPr>
          <w:rFonts w:ascii="Times New Roman" w:hAnsi="Times New Roman"/>
          <w:sz w:val="18"/>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double" w:sz="6" w:space="0" w:color="000000"/>
            </w:tcBorders>
            <w:vAlign w:val="center"/>
          </w:tcPr>
          <w:p>
            <w:pPr>
              <w:pStyle w:val="TableContents"/>
              <w:bidi w:val="0"/>
              <w:spacing w:before="0" w:after="0"/>
              <w:jc w:val="left"/>
              <w:rPr/>
            </w:pPr>
            <w:r>
              <w:rPr/>
              <w:t xml:space="preserve">  </w:t>
            </w:r>
          </w:p>
        </w:tc>
      </w:tr>
    </w:tbl>
    <w:p>
      <w:pPr>
        <w:pStyle w:val="TextBody"/>
        <w:bidi w:val="0"/>
        <w:spacing w:lineRule="auto" w:line="324" w:before="0" w:after="20"/>
        <w:jc w:val="left"/>
        <w:rPr/>
      </w:pPr>
      <w:r>
        <w:rPr/>
        <w:t xml:space="preserve">  </w:t>
      </w:r>
    </w:p>
    <w:p>
      <w:pPr>
        <w:pStyle w:val="TextBody"/>
        <w:bidi w:val="0"/>
        <w:spacing w:lineRule="auto" w:line="324" w:before="0" w:after="2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14" w:before="0" w:after="0"/>
        <w:jc w:val="center"/>
        <w:rPr/>
      </w:pPr>
      <w:r>
        <w:rPr/>
        <w:t xml:space="preserve">  </w:t>
      </w:r>
    </w:p>
    <w:p>
      <w:pPr>
        <w:pStyle w:val="TextBody"/>
        <w:bidi w:val="0"/>
        <w:spacing w:lineRule="auto" w:line="314" w:before="0" w:after="0"/>
        <w:ind w:left="0" w:right="0" w:firstLine="407"/>
        <w:jc w:val="center"/>
        <w:rPr>
          <w:rFonts w:ascii="Times New Roman" w:hAnsi="Times New Roman"/>
          <w:sz w:val="18"/>
        </w:rPr>
      </w:pPr>
      <w:r>
        <w:rPr>
          <w:rFonts w:ascii="Times New Roman" w:hAnsi="Times New Roman"/>
          <w:sz w:val="18"/>
        </w:rPr>
        <w:t xml:space="preserve">CAUTIONARY STATEMENT CONCERNING FORWARD-LOOKING STATEMENTS </w:t>
      </w:r>
    </w:p>
    <w:p>
      <w:pPr>
        <w:pStyle w:val="TextBody"/>
        <w:bidi w:val="0"/>
        <w:spacing w:lineRule="auto" w:line="324" w:before="0" w:after="0"/>
        <w:jc w:val="left"/>
        <w:rPr/>
      </w:pPr>
      <w:r>
        <w:rPr/>
        <w:t xml:space="preserve">  </w:t>
      </w:r>
    </w:p>
    <w:p>
      <w:pPr>
        <w:pStyle w:val="TextBody"/>
        <w:bidi w:val="0"/>
        <w:spacing w:lineRule="auto" w:line="300" w:before="0" w:after="0"/>
        <w:jc w:val="left"/>
        <w:rPr>
          <w:rFonts w:ascii="Times New Roman" w:hAnsi="Times New Roman"/>
          <w:sz w:val="18"/>
        </w:rPr>
      </w:pPr>
      <w:r>
        <w:rPr>
          <w:rFonts w:ascii="Times New Roman" w:hAnsi="Times New Roman"/>
          <w:sz w:val="18"/>
        </w:rPr>
        <w:t xml:space="preserve">This Quarterly Report on Form 10-Q contains certain statements that are “forward-looking” statements within the meaning of the federal securities laws and are presented pursuant to the safe harbor provisions of the U.S. Private Securities Litigation Reform Act of 1995.  Such “forward-looking” statements include, but are not limited to, statements with respect to our future financial performance and condition, results of operations and business, our expectations or beliefs concerning future events, plans, objectives, expectations and intentions, and other statements that are not historical facts. These statements may contain words such as “believes,” “expects,” “may,” “will,” “should,” “would,” “could,” “seeks,” “approximately,” “intends,” “plans,” “estimates,” “projects,” “outlook,” “guidance,” “anticipates” or “looking forward” or similar expressions. In addition, we, through our senior management, from time to time make forward-looking public statements concerning our expected future operations and performance and other developments. These forward-looking statements are based upon the current beliefs and expectations of the management of Magnera and are subject to risks and uncertainties that may change at any time.  Forward-looking statements involve risks and uncertainties that could cause actual results to differ materially from those in the forward-looking statements. Although it is not possible to identify all of these risks and uncertainties, they include, among others, the following: global economic conditions; inflation; the cost and availability of raw materials and energy; disruption of our supply chain; the adverse impact of weather events on our facilities, inventory and suppliers, as well as adverse effects on our customers, suppliers and other business partners; the effect of competition on our business; our inability to integrate future acquired companies or to realize expected operating synergies; synergies expected to be achieved in connection with our business combination with a subsidiary of Berry Global Group, Inc.; our inability to retain our officers and employees or the occurrence of labor disputes; disruption of our information technology systems, including as a result of a cyber breach; risks associated with operating internationally, including fluctuating exchange rates, tariffs, differing tax laws and regulation; litigation and regulatory investigations; and disputes related to intellectual property used in our business.  Additional information regarding these risks and uncertainties and other risks applicable to our business are described in additional detail in our reports filed with the Securities and Exchange Commission (the “SEC”), including our Annual Report on Form 10-K for the fiscal year ended September 27, 2025, and other filings that we make with the SEC. These risk factors may not contain all of the material factors that are important to you. New factors may emerge from time to time, and it is not possible to either predict new factors or assess the potential effect of any such new factors. Accordingly, readers should not place undue reliance on those statements. All forward-looking statements are made as of the date hereof, and we undertake no obligation to publicly update or revise any forward-looking statement as a result of new information, future events or otherwise, except as otherwise required by law.  </w:t>
      </w:r>
    </w:p>
    <w:p>
      <w:pPr>
        <w:pStyle w:val="TextBody"/>
        <w:bidi w:val="0"/>
        <w:spacing w:lineRule="auto" w:line="300"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24" w:before="0" w:after="0"/>
        <w:jc w:val="left"/>
        <w:rPr/>
      </w:pPr>
      <w:r>
        <w:rPr/>
        <w:t xml:space="preserve">  </w:t>
      </w:r>
    </w:p>
    <w:p>
      <w:pPr>
        <w:pStyle w:val="TextBody"/>
        <w:bidi w:val="0"/>
        <w:spacing w:lineRule="auto" w:line="324" w:before="0" w:after="0"/>
        <w:jc w:val="center"/>
        <w:rPr>
          <w:rFonts w:ascii="Times New Roman" w:hAnsi="Times New Roman"/>
          <w:sz w:val="18"/>
        </w:rPr>
      </w:pPr>
      <w:r>
        <w:rPr>
          <w:rFonts w:ascii="Times New Roman" w:hAnsi="Times New Roman"/>
          <w:b/>
          <w:sz w:val="18"/>
        </w:rPr>
        <w:t>Magnera Corporation</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b/>
          <w:sz w:val="18"/>
        </w:rPr>
        <w:t>Form 10-Q Index</w:t>
      </w:r>
      <w:r>
        <w:rPr>
          <w:rFonts w:ascii="Times New Roman" w:hAnsi="Times New Roman"/>
          <w:sz w:val="18"/>
        </w:rPr>
        <w:t xml:space="preserve"> </w:t>
      </w:r>
    </w:p>
    <w:p>
      <w:pPr>
        <w:pStyle w:val="TextBody"/>
        <w:bidi w:val="0"/>
        <w:spacing w:lineRule="auto" w:line="324" w:before="60" w:after="283"/>
        <w:jc w:val="center"/>
        <w:rPr>
          <w:rFonts w:ascii="Times New Roman" w:hAnsi="Times New Roman"/>
          <w:sz w:val="18"/>
        </w:rPr>
      </w:pPr>
      <w:r>
        <w:rPr>
          <w:rFonts w:ascii="Times New Roman" w:hAnsi="Times New Roman"/>
          <w:b/>
          <w:sz w:val="18"/>
        </w:rPr>
        <w:t xml:space="preserve">For the Quarterly Period Ended </w:t>
      </w:r>
      <w:r>
        <w:rPr>
          <w:rFonts w:ascii="Times New Roman" w:hAnsi="Times New Roman"/>
          <w:b/>
          <w:color w:val="000000"/>
          <w:sz w:val="18"/>
        </w:rPr>
        <w:t>March 28, 2026</w:t>
      </w:r>
    </w:p>
    <w:p>
      <w:pPr>
        <w:pStyle w:val="TextBody"/>
        <w:bidi w:val="0"/>
        <w:spacing w:lineRule="auto" w:line="324" w:before="120" w:after="283"/>
        <w:jc w:val="center"/>
        <w:rPr/>
      </w:pPr>
      <w:r>
        <w:rPr/>
        <w:t xml:space="preserve">  </w:t>
      </w:r>
    </w:p>
    <w:tbl>
      <w:tblPr>
        <w:tblW w:w="8009" w:type="dxa"/>
        <w:jc w:val="left"/>
        <w:tblInd w:w="0" w:type="dxa"/>
        <w:tblLayout w:type="fixed"/>
        <w:tblCellMar>
          <w:top w:w="28" w:type="dxa"/>
          <w:left w:w="28" w:type="dxa"/>
          <w:bottom w:w="28" w:type="dxa"/>
          <w:right w:w="28" w:type="dxa"/>
        </w:tblCellMar>
      </w:tblPr>
      <w:tblGrid>
        <w:gridCol w:w="781"/>
        <w:gridCol w:w="6541"/>
        <w:gridCol w:w="146"/>
        <w:gridCol w:w="541"/>
      </w:tblGrid>
      <w:tr>
        <w:trPr/>
        <w:tc>
          <w:tcPr>
            <w:tcW w:w="781" w:type="dxa"/>
            <w:tcBorders/>
            <w:vAlign w:val="center"/>
          </w:tcPr>
          <w:p>
            <w:pPr>
              <w:pStyle w:val="TableContents"/>
              <w:bidi w:val="0"/>
              <w:spacing w:before="0" w:after="283"/>
              <w:jc w:val="left"/>
              <w:rPr/>
            </w:pPr>
            <w:r>
              <w:rPr/>
              <w:t> </w:t>
            </w:r>
          </w:p>
        </w:tc>
        <w:tc>
          <w:tcPr>
            <w:tcW w:w="65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41" w:type="dxa"/>
            <w:tcBorders/>
            <w:vAlign w:val="center"/>
          </w:tcPr>
          <w:p>
            <w:pPr>
              <w:pStyle w:val="TableContents"/>
              <w:bidi w:val="0"/>
              <w:spacing w:before="0" w:after="283"/>
              <w:jc w:val="left"/>
              <w:rPr/>
            </w:pPr>
            <w:r>
              <w:rPr/>
              <w:t> </w:t>
            </w:r>
          </w:p>
        </w:tc>
      </w:tr>
      <w:tr>
        <w:trPr/>
        <w:tc>
          <w:tcPr>
            <w:tcW w:w="7322" w:type="dxa"/>
            <w:gridSpan w:val="2"/>
            <w:tcBorders/>
            <w:tcMar>
              <w:top w:w="0" w:type="dxa"/>
              <w:left w:w="0" w:type="dxa"/>
              <w:bottom w:w="0" w:type="dxa"/>
              <w:right w:w="0" w:type="dxa"/>
            </w:tcMar>
            <w:vAlign w:val="center"/>
          </w:tcPr>
          <w:p>
            <w:pPr>
              <w:pStyle w:val="TableContents"/>
              <w:bidi w:val="0"/>
              <w:spacing w:lineRule="auto" w:line="324" w:before="75" w:after="283"/>
              <w:jc w:val="left"/>
              <w:rPr/>
            </w:pPr>
            <w:r>
              <w:rPr/>
              <w:t> </w:t>
            </w:r>
            <w:hyperlink w:anchor="Section4">
              <w:r>
                <w:rPr>
                  <w:rStyle w:val="InternetLink"/>
                  <w:b/>
                  <w:color w:val="000000"/>
                  <w:sz w:val="18"/>
                </w:rPr>
                <w:t>Part I - Financial Information</w:t>
              </w:r>
            </w:hyperlink>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Page</w:t>
            </w:r>
            <w:r>
              <w:rPr>
                <w:sz w:val="18"/>
              </w:rPr>
              <w:t xml:space="preserve"> </w:t>
            </w:r>
          </w:p>
        </w:tc>
      </w:tr>
      <w:tr>
        <w:trPr/>
        <w:tc>
          <w:tcPr>
            <w:tcW w:w="781" w:type="dxa"/>
            <w:tcBorders/>
            <w:tcMar>
              <w:top w:w="0" w:type="dxa"/>
              <w:left w:w="0" w:type="dxa"/>
              <w:bottom w:w="0" w:type="dxa"/>
              <w:right w:w="0" w:type="dxa"/>
            </w:tcMar>
            <w:vAlign w:val="center"/>
          </w:tcPr>
          <w:p>
            <w:pPr>
              <w:pStyle w:val="TableContents"/>
              <w:bidi w:val="0"/>
              <w:spacing w:lineRule="auto" w:line="321" w:before="75" w:after="30"/>
              <w:jc w:val="left"/>
              <w:rPr/>
            </w:pPr>
            <w:hyperlink w:anchor="Item_1_-_Financial_Statements_0">
              <w:r>
                <w:rPr>
                  <w:rStyle w:val="InternetLink"/>
                </w:rPr>
                <w:t>Item 1</w:t>
              </w:r>
            </w:hyperlink>
            <w:r>
              <w:rPr/>
              <w:t xml:space="preserve"> </w:t>
            </w:r>
          </w:p>
        </w:tc>
        <w:tc>
          <w:tcPr>
            <w:tcW w:w="6541" w:type="dxa"/>
            <w:tcBorders/>
            <w:tcMar>
              <w:top w:w="0" w:type="dxa"/>
              <w:left w:w="0" w:type="dxa"/>
              <w:bottom w:w="0" w:type="dxa"/>
              <w:right w:w="0" w:type="dxa"/>
            </w:tcMar>
            <w:vAlign w:val="center"/>
          </w:tcPr>
          <w:p>
            <w:pPr>
              <w:pStyle w:val="TableContents"/>
              <w:bidi w:val="0"/>
              <w:spacing w:lineRule="auto" w:line="321" w:before="75" w:after="30"/>
              <w:jc w:val="left"/>
              <w:rPr/>
            </w:pPr>
            <w:hyperlink w:anchor="Item_1_-_Financial_Statements_0">
              <w:r>
                <w:rPr>
                  <w:rStyle w:val="InternetLink"/>
                  <w:sz w:val="18"/>
                </w:rPr>
                <w:t>Financial Statements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75" w:after="30"/>
              <w:jc w:val="right"/>
              <w:rPr/>
            </w:pPr>
            <w:r>
              <w:rPr/>
              <w:t> </w:t>
            </w:r>
            <w:r>
              <w:rPr>
                <w:color w:val="000000"/>
                <w:sz w:val="18"/>
              </w:rPr>
              <w:t>4</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41" w:type="dxa"/>
            <w:tcBorders/>
            <w:tcMar>
              <w:top w:w="0" w:type="dxa"/>
              <w:left w:w="0" w:type="dxa"/>
              <w:bottom w:w="0" w:type="dxa"/>
              <w:right w:w="0" w:type="dxa"/>
            </w:tcMar>
            <w:vAlign w:val="center"/>
          </w:tcPr>
          <w:p>
            <w:pPr>
              <w:pStyle w:val="TableContents"/>
              <w:bidi w:val="0"/>
              <w:spacing w:lineRule="auto" w:line="321" w:before="65" w:after="20"/>
              <w:jc w:val="left"/>
              <w:rPr/>
            </w:pPr>
            <w:hyperlink w:anchor="Section6">
              <w:r>
                <w:rPr>
                  <w:rStyle w:val="InternetLink"/>
                  <w:color w:val="000000"/>
                  <w:sz w:val="18"/>
                </w:rPr>
                <w:t>Consolidated and Combined Statements of Operations and Comprehensive Loss</w:t>
              </w:r>
            </w:hyperlink>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65" w:after="20"/>
              <w:jc w:val="right"/>
              <w:rPr/>
            </w:pPr>
            <w:r>
              <w:rPr/>
              <w:t> </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41" w:type="dxa"/>
            <w:tcBorders/>
            <w:tcMar>
              <w:top w:w="0" w:type="dxa"/>
              <w:left w:w="0" w:type="dxa"/>
              <w:bottom w:w="0" w:type="dxa"/>
              <w:right w:w="0" w:type="dxa"/>
            </w:tcMar>
            <w:vAlign w:val="center"/>
          </w:tcPr>
          <w:p>
            <w:pPr>
              <w:pStyle w:val="TableContents"/>
              <w:bidi w:val="0"/>
              <w:spacing w:lineRule="auto" w:line="321" w:before="0" w:after="0"/>
              <w:jc w:val="left"/>
              <w:rPr/>
            </w:pPr>
            <w:hyperlink w:anchor="Section7">
              <w:r>
                <w:rPr>
                  <w:rStyle w:val="InternetLink"/>
                  <w:color w:val="000000"/>
                  <w:sz w:val="18"/>
                </w:rPr>
                <w:t>Condensed and Consolidated Balance Sheets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0" w:after="0"/>
              <w:jc w:val="right"/>
              <w:rPr>
                <w:sz w:val="18"/>
              </w:rPr>
            </w:pPr>
            <w:r>
              <w:rPr>
                <w:sz w:val="18"/>
              </w:rPr>
              <w:t>5</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41" w:type="dxa"/>
            <w:tcBorders/>
            <w:tcMar>
              <w:top w:w="0" w:type="dxa"/>
              <w:left w:w="0" w:type="dxa"/>
              <w:bottom w:w="0" w:type="dxa"/>
              <w:right w:w="0" w:type="dxa"/>
            </w:tcMar>
            <w:vAlign w:val="center"/>
          </w:tcPr>
          <w:p>
            <w:pPr>
              <w:pStyle w:val="TableContents"/>
              <w:bidi w:val="0"/>
              <w:spacing w:lineRule="auto" w:line="321" w:before="65" w:after="20"/>
              <w:jc w:val="left"/>
              <w:rPr/>
            </w:pPr>
            <w:hyperlink w:anchor="Section8">
              <w:r>
                <w:rPr>
                  <w:rStyle w:val="InternetLink"/>
                  <w:color w:val="000000"/>
                  <w:sz w:val="18"/>
                </w:rPr>
                <w:t>Condensed Consolidated and Combined Statements of Cash Flows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65" w:after="20"/>
              <w:jc w:val="right"/>
              <w:rPr>
                <w:sz w:val="18"/>
              </w:rPr>
            </w:pPr>
            <w:r>
              <w:rPr>
                <w:sz w:val="18"/>
              </w:rPr>
              <w:t>6</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41" w:type="dxa"/>
            <w:tcBorders/>
            <w:tcMar>
              <w:top w:w="0" w:type="dxa"/>
              <w:left w:w="0" w:type="dxa"/>
              <w:bottom w:w="0" w:type="dxa"/>
              <w:right w:w="0" w:type="dxa"/>
            </w:tcMar>
            <w:vAlign w:val="center"/>
          </w:tcPr>
          <w:p>
            <w:pPr>
              <w:pStyle w:val="TableContents"/>
              <w:bidi w:val="0"/>
              <w:spacing w:lineRule="auto" w:line="321" w:before="65" w:after="20"/>
              <w:jc w:val="left"/>
              <w:rPr/>
            </w:pPr>
            <w:hyperlink w:anchor="Section9">
              <w:r>
                <w:rPr>
                  <w:rStyle w:val="InternetLink"/>
                  <w:color w:val="000000"/>
                  <w:sz w:val="18"/>
                </w:rPr>
                <w:t>Consolidated and Combined Statements of Changes in Equity</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65" w:after="20"/>
              <w:jc w:val="right"/>
              <w:rPr>
                <w:sz w:val="18"/>
              </w:rPr>
            </w:pPr>
            <w:r>
              <w:rPr>
                <w:sz w:val="18"/>
              </w:rPr>
              <w:t>7</w:t>
            </w:r>
          </w:p>
        </w:tc>
      </w:tr>
      <w:tr>
        <w:trPr/>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41"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10">
              <w:r>
                <w:rPr>
                  <w:rStyle w:val="InternetLink"/>
                  <w:color w:val="000000"/>
                  <w:sz w:val="18"/>
                </w:rPr>
                <w:t>Notes to Condensed Consolidated and Combined Financial Statements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sz w:val="18"/>
              </w:rPr>
              <w:t>8</w:t>
            </w:r>
          </w:p>
        </w:tc>
      </w:tr>
      <w:tr>
        <w:trPr/>
        <w:tc>
          <w:tcPr>
            <w:tcW w:w="781" w:type="dxa"/>
            <w:tcBorders/>
            <w:tcMar>
              <w:top w:w="0" w:type="dxa"/>
              <w:left w:w="0" w:type="dxa"/>
              <w:bottom w:w="0" w:type="dxa"/>
              <w:right w:w="0" w:type="dxa"/>
            </w:tcMar>
            <w:vAlign w:val="center"/>
          </w:tcPr>
          <w:p>
            <w:pPr>
              <w:pStyle w:val="TableContents"/>
              <w:bidi w:val="0"/>
              <w:spacing w:lineRule="auto" w:line="321" w:before="75" w:after="30"/>
              <w:jc w:val="both"/>
              <w:rPr/>
            </w:pPr>
            <w:hyperlink w:anchor="Section23">
              <w:r>
                <w:rPr>
                  <w:rStyle w:val="InternetLink"/>
                  <w:color w:val="000000"/>
                  <w:sz w:val="18"/>
                </w:rPr>
                <w:t>Item 2</w:t>
              </w:r>
            </w:hyperlink>
            <w:r>
              <w:rPr>
                <w:sz w:val="18"/>
              </w:rPr>
              <w:t xml:space="preserve"> </w:t>
            </w:r>
          </w:p>
        </w:tc>
        <w:tc>
          <w:tcPr>
            <w:tcW w:w="6541"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23">
              <w:r>
                <w:rPr>
                  <w:rStyle w:val="InternetLink"/>
                  <w:sz w:val="18"/>
                  <w:u w:val="single"/>
                </w:rPr>
                <w:t>Management’s Discussion and Analysis of Financial Condition and Results of Operations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75" w:after="30"/>
              <w:jc w:val="right"/>
              <w:rPr>
                <w:color w:val="000000"/>
                <w:sz w:val="18"/>
              </w:rPr>
            </w:pPr>
            <w:r>
              <w:rPr>
                <w:color w:val="000000"/>
                <w:sz w:val="18"/>
              </w:rPr>
              <w:t>14</w:t>
            </w:r>
          </w:p>
        </w:tc>
      </w:tr>
      <w:tr>
        <w:trPr/>
        <w:tc>
          <w:tcPr>
            <w:tcW w:w="781" w:type="dxa"/>
            <w:tcBorders/>
            <w:tcMar>
              <w:top w:w="0" w:type="dxa"/>
              <w:left w:w="0" w:type="dxa"/>
              <w:bottom w:w="0" w:type="dxa"/>
              <w:right w:w="0" w:type="dxa"/>
            </w:tcMar>
            <w:vAlign w:val="center"/>
          </w:tcPr>
          <w:p>
            <w:pPr>
              <w:pStyle w:val="TableContents"/>
              <w:bidi w:val="0"/>
              <w:spacing w:lineRule="auto" w:line="321" w:before="75" w:after="30"/>
              <w:jc w:val="both"/>
              <w:rPr/>
            </w:pPr>
            <w:hyperlink w:anchor="Section27">
              <w:r>
                <w:rPr>
                  <w:rStyle w:val="InternetLink"/>
                  <w:color w:val="000000"/>
                  <w:sz w:val="18"/>
                </w:rPr>
                <w:t>Item 3</w:t>
              </w:r>
            </w:hyperlink>
            <w:r>
              <w:rPr>
                <w:sz w:val="18"/>
              </w:rPr>
              <w:t xml:space="preserve"> </w:t>
            </w:r>
          </w:p>
        </w:tc>
        <w:tc>
          <w:tcPr>
            <w:tcW w:w="6541"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27">
              <w:r>
                <w:rPr>
                  <w:rStyle w:val="InternetLink"/>
                  <w:sz w:val="18"/>
                  <w:u w:val="single"/>
                </w:rPr>
                <w:t>Quantitative and Qualitative Disclosures About Market Risks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19</w:t>
            </w:r>
            <w:r>
              <w:rPr>
                <w:sz w:val="18"/>
              </w:rPr>
              <w:t xml:space="preserve"> </w:t>
            </w:r>
          </w:p>
        </w:tc>
      </w:tr>
      <w:tr>
        <w:trPr/>
        <w:tc>
          <w:tcPr>
            <w:tcW w:w="781" w:type="dxa"/>
            <w:tcBorders/>
            <w:tcMar>
              <w:top w:w="0" w:type="dxa"/>
              <w:left w:w="0" w:type="dxa"/>
              <w:bottom w:w="0" w:type="dxa"/>
              <w:right w:w="0" w:type="dxa"/>
            </w:tcMar>
            <w:vAlign w:val="center"/>
          </w:tcPr>
          <w:p>
            <w:pPr>
              <w:pStyle w:val="TableContents"/>
              <w:bidi w:val="0"/>
              <w:spacing w:lineRule="auto" w:line="321" w:before="75" w:after="30"/>
              <w:jc w:val="both"/>
              <w:rPr/>
            </w:pPr>
            <w:hyperlink w:anchor="Section28">
              <w:r>
                <w:rPr>
                  <w:rStyle w:val="InternetLink"/>
                  <w:color w:val="000000"/>
                  <w:sz w:val="18"/>
                </w:rPr>
                <w:t>Item 4</w:t>
              </w:r>
            </w:hyperlink>
            <w:r>
              <w:rPr>
                <w:sz w:val="18"/>
              </w:rPr>
              <w:t xml:space="preserve"> </w:t>
            </w:r>
          </w:p>
        </w:tc>
        <w:tc>
          <w:tcPr>
            <w:tcW w:w="6541"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28">
              <w:r>
                <w:rPr>
                  <w:rStyle w:val="InternetLink"/>
                  <w:sz w:val="18"/>
                  <w:u w:val="single"/>
                </w:rPr>
                <w:t>Controls and Procedures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19</w:t>
            </w:r>
            <w:r>
              <w:rPr>
                <w:sz w:val="18"/>
              </w:rPr>
              <w:t xml:space="preserve"> </w:t>
            </w:r>
          </w:p>
        </w:tc>
      </w:tr>
      <w:tr>
        <w:trPr/>
        <w:tc>
          <w:tcPr>
            <w:tcW w:w="7322" w:type="dxa"/>
            <w:gridSpan w:val="2"/>
            <w:tcBorders/>
            <w:tcMar>
              <w:top w:w="0" w:type="dxa"/>
              <w:left w:w="0" w:type="dxa"/>
              <w:bottom w:w="0" w:type="dxa"/>
              <w:right w:w="0" w:type="dxa"/>
            </w:tcMar>
            <w:vAlign w:val="center"/>
          </w:tcPr>
          <w:p>
            <w:pPr>
              <w:pStyle w:val="TableContents"/>
              <w:bidi w:val="0"/>
              <w:spacing w:lineRule="auto" w:line="321" w:before="75" w:after="30"/>
              <w:jc w:val="left"/>
              <w:rPr/>
            </w:pPr>
            <w:hyperlink w:anchor="Section29">
              <w:r>
                <w:rPr>
                  <w:rStyle w:val="InternetLink"/>
                  <w:b/>
                  <w:color w:val="000000"/>
                  <w:sz w:val="18"/>
                </w:rPr>
                <w:t>Part II – Other Information</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75" w:after="30"/>
              <w:jc w:val="right"/>
              <w:rPr>
                <w:color w:val="000000"/>
                <w:sz w:val="18"/>
              </w:rPr>
            </w:pPr>
            <w:r>
              <w:rPr>
                <w:color w:val="000000"/>
                <w:sz w:val="18"/>
              </w:rPr>
              <w:t>20</w:t>
            </w:r>
          </w:p>
        </w:tc>
      </w:tr>
      <w:tr>
        <w:trPr/>
        <w:tc>
          <w:tcPr>
            <w:tcW w:w="781" w:type="dxa"/>
            <w:tcBorders/>
            <w:tcMar>
              <w:top w:w="0" w:type="dxa"/>
              <w:left w:w="0" w:type="dxa"/>
              <w:bottom w:w="0" w:type="dxa"/>
              <w:right w:w="0" w:type="dxa"/>
            </w:tcMar>
            <w:vAlign w:val="center"/>
          </w:tcPr>
          <w:p>
            <w:pPr>
              <w:pStyle w:val="TableContents"/>
              <w:bidi w:val="0"/>
              <w:spacing w:lineRule="auto" w:line="321" w:before="65" w:after="20"/>
              <w:ind w:left="0" w:right="15" w:hanging="0"/>
              <w:jc w:val="both"/>
              <w:rPr>
                <w:sz w:val="18"/>
              </w:rPr>
            </w:pPr>
            <w:r>
              <w:rPr>
                <w:color w:val="000000"/>
                <w:sz w:val="18"/>
              </w:rPr>
              <w:t>Item 1</w:t>
            </w:r>
            <w:r>
              <w:rPr>
                <w:sz w:val="18"/>
              </w:rPr>
              <w:t xml:space="preserve"> </w:t>
            </w:r>
          </w:p>
        </w:tc>
        <w:tc>
          <w:tcPr>
            <w:tcW w:w="6541" w:type="dxa"/>
            <w:tcBorders/>
            <w:tcMar>
              <w:top w:w="0" w:type="dxa"/>
              <w:left w:w="0" w:type="dxa"/>
              <w:bottom w:w="0" w:type="dxa"/>
              <w:right w:w="0" w:type="dxa"/>
            </w:tcMar>
            <w:vAlign w:val="center"/>
          </w:tcPr>
          <w:p>
            <w:pPr>
              <w:pStyle w:val="TableContents"/>
              <w:bidi w:val="0"/>
              <w:spacing w:lineRule="auto" w:line="321" w:before="65" w:after="20"/>
              <w:jc w:val="left"/>
              <w:rPr/>
            </w:pPr>
            <w:hyperlink w:anchor="Section30">
              <w:r>
                <w:rPr>
                  <w:rStyle w:val="InternetLink"/>
                  <w:sz w:val="18"/>
                  <w:u w:val="single"/>
                </w:rPr>
                <w:t>Legal Proceedings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65" w:after="20"/>
              <w:jc w:val="right"/>
              <w:rPr>
                <w:color w:val="000000"/>
                <w:sz w:val="18"/>
              </w:rPr>
            </w:pPr>
            <w:r>
              <w:rPr>
                <w:color w:val="000000"/>
                <w:sz w:val="18"/>
              </w:rPr>
              <w:t>20</w:t>
            </w:r>
          </w:p>
        </w:tc>
      </w:tr>
      <w:tr>
        <w:trPr/>
        <w:tc>
          <w:tcPr>
            <w:tcW w:w="781" w:type="dxa"/>
            <w:tcBorders/>
            <w:tcMar>
              <w:top w:w="0" w:type="dxa"/>
              <w:left w:w="0" w:type="dxa"/>
              <w:bottom w:w="0" w:type="dxa"/>
              <w:right w:w="0" w:type="dxa"/>
            </w:tcMar>
            <w:vAlign w:val="center"/>
          </w:tcPr>
          <w:p>
            <w:pPr>
              <w:pStyle w:val="TableContents"/>
              <w:bidi w:val="0"/>
              <w:spacing w:lineRule="auto" w:line="321" w:before="75" w:after="30"/>
              <w:ind w:left="0" w:right="15" w:hanging="0"/>
              <w:jc w:val="both"/>
              <w:rPr>
                <w:sz w:val="18"/>
              </w:rPr>
            </w:pPr>
            <w:r>
              <w:rPr>
                <w:color w:val="000000"/>
                <w:sz w:val="18"/>
              </w:rPr>
              <w:t>Item 1A</w:t>
            </w:r>
            <w:r>
              <w:rPr>
                <w:sz w:val="18"/>
              </w:rPr>
              <w:t xml:space="preserve"> </w:t>
            </w:r>
          </w:p>
        </w:tc>
        <w:tc>
          <w:tcPr>
            <w:tcW w:w="6541"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31">
              <w:r>
                <w:rPr>
                  <w:rStyle w:val="InternetLink"/>
                  <w:sz w:val="18"/>
                  <w:u w:val="single"/>
                </w:rPr>
                <w:t>Risk Factors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75" w:after="30"/>
              <w:jc w:val="right"/>
              <w:rPr>
                <w:color w:val="000000"/>
                <w:sz w:val="18"/>
              </w:rPr>
            </w:pPr>
            <w:r>
              <w:rPr>
                <w:color w:val="000000"/>
                <w:sz w:val="18"/>
              </w:rPr>
              <w:t>20</w:t>
            </w:r>
          </w:p>
        </w:tc>
      </w:tr>
      <w:tr>
        <w:trPr/>
        <w:tc>
          <w:tcPr>
            <w:tcW w:w="781" w:type="dxa"/>
            <w:tcBorders/>
            <w:tcMar>
              <w:top w:w="0" w:type="dxa"/>
              <w:left w:w="0" w:type="dxa"/>
              <w:bottom w:w="0" w:type="dxa"/>
              <w:right w:w="0" w:type="dxa"/>
            </w:tcMar>
            <w:vAlign w:val="center"/>
          </w:tcPr>
          <w:p>
            <w:pPr>
              <w:pStyle w:val="TableContents"/>
              <w:bidi w:val="0"/>
              <w:spacing w:lineRule="auto" w:line="321" w:before="75" w:after="30"/>
              <w:jc w:val="both"/>
              <w:rPr/>
            </w:pPr>
            <w:hyperlink w:anchor="Section32">
              <w:r>
                <w:rPr>
                  <w:rStyle w:val="InternetLink"/>
                  <w:color w:val="000000"/>
                  <w:sz w:val="18"/>
                </w:rPr>
                <w:t>Item 6</w:t>
              </w:r>
            </w:hyperlink>
            <w:r>
              <w:rPr>
                <w:sz w:val="18"/>
              </w:rPr>
              <w:t xml:space="preserve"> </w:t>
            </w:r>
          </w:p>
        </w:tc>
        <w:tc>
          <w:tcPr>
            <w:tcW w:w="6541"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32">
              <w:r>
                <w:rPr>
                  <w:rStyle w:val="InternetLink"/>
                  <w:sz w:val="18"/>
                  <w:u w:val="single"/>
                </w:rPr>
                <w:t>Exhibits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75" w:after="30"/>
              <w:jc w:val="right"/>
              <w:rPr>
                <w:color w:val="000000"/>
                <w:sz w:val="18"/>
              </w:rPr>
            </w:pPr>
            <w:r>
              <w:rPr>
                <w:color w:val="000000"/>
                <w:sz w:val="18"/>
              </w:rPr>
              <w:t>21</w:t>
            </w:r>
          </w:p>
        </w:tc>
      </w:tr>
      <w:tr>
        <w:trPr/>
        <w:tc>
          <w:tcPr>
            <w:tcW w:w="781" w:type="dxa"/>
            <w:tcBorders/>
            <w:tcMar>
              <w:top w:w="0" w:type="dxa"/>
              <w:left w:w="0" w:type="dxa"/>
              <w:bottom w:w="0" w:type="dxa"/>
              <w:right w:w="0" w:type="dxa"/>
            </w:tcMar>
            <w:vAlign w:val="center"/>
          </w:tcPr>
          <w:p>
            <w:pPr>
              <w:pStyle w:val="TableContents"/>
              <w:bidi w:val="0"/>
              <w:spacing w:before="0" w:after="283"/>
              <w:jc w:val="both"/>
              <w:rPr/>
            </w:pPr>
            <w:r>
              <w:rPr/>
              <w:t> </w:t>
            </w:r>
          </w:p>
        </w:tc>
        <w:tc>
          <w:tcPr>
            <w:tcW w:w="6541"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33">
              <w:r>
                <w:rPr>
                  <w:rStyle w:val="InternetLink"/>
                  <w:sz w:val="18"/>
                  <w:u w:val="single"/>
                </w:rPr>
                <w:t>Signature</w:t>
              </w:r>
            </w:hyperlink>
            <w:r>
              <w:rPr>
                <w:sz w:val="18"/>
              </w:rPr>
              <w:t xml:space="preserve"> </w:t>
            </w:r>
          </w:p>
        </w:tc>
        <w:tc>
          <w:tcPr>
            <w:tcW w:w="146" w:type="dxa"/>
            <w:tcBorders/>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22</w:t>
            </w:r>
            <w:r>
              <w:rPr>
                <w:sz w:val="18"/>
              </w:rPr>
              <w:t xml:space="preserve"> </w:t>
            </w:r>
          </w:p>
        </w:tc>
      </w:tr>
    </w:tbl>
    <w:p>
      <w:pPr>
        <w:pStyle w:val="TextBody"/>
        <w:bidi w:val="0"/>
        <w:spacing w:lineRule="auto" w:line="324" w:before="0" w:after="0"/>
        <w:jc w:val="left"/>
        <w:rPr/>
      </w:pPr>
      <w:r>
        <w:rPr/>
        <w:t xml:space="preserve">  </w:t>
      </w:r>
    </w:p>
    <w:p>
      <w:pPr>
        <w:pStyle w:val="TextBody"/>
        <w:bidi w:val="0"/>
        <w:spacing w:lineRule="auto" w:line="32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24" w:before="0" w:after="0"/>
        <w:jc w:val="left"/>
        <w:rPr>
          <w:rFonts w:ascii="Times New Roman" w:hAnsi="Times New Roman"/>
          <w:sz w:val="18"/>
        </w:rPr>
      </w:pPr>
      <w:bookmarkStart w:id="2" w:name="Section4"/>
      <w:bookmarkEnd w:id="2"/>
      <w:r>
        <w:rPr>
          <w:rFonts w:ascii="Times New Roman" w:hAnsi="Times New Roman"/>
          <w:b/>
          <w:sz w:val="20"/>
        </w:rPr>
        <w:t>Part I – Financial Information</w:t>
      </w:r>
      <w:r>
        <w:rPr>
          <w:rFonts w:ascii="Times New Roman" w:hAnsi="Times New Roman"/>
          <w:sz w:val="18"/>
        </w:rPr>
        <w:t xml:space="preserve"> </w:t>
      </w:r>
    </w:p>
    <w:p>
      <w:pPr>
        <w:pStyle w:val="TextBody"/>
        <w:bidi w:val="0"/>
        <w:spacing w:lineRule="auto" w:line="324" w:before="0" w:after="0"/>
        <w:jc w:val="left"/>
        <w:rPr/>
      </w:pPr>
      <w:r>
        <w:rPr/>
        <w:t> </w:t>
      </w:r>
    </w:p>
    <w:p>
      <w:pPr>
        <w:pStyle w:val="TextBody"/>
        <w:bidi w:val="0"/>
        <w:spacing w:lineRule="auto" w:line="324" w:before="0" w:after="0"/>
        <w:jc w:val="left"/>
        <w:rPr>
          <w:rFonts w:ascii="Times New Roman" w:hAnsi="Times New Roman"/>
          <w:b/>
          <w:spacing w:val="0"/>
          <w:sz w:val="20"/>
        </w:rPr>
      </w:pPr>
      <w:bookmarkStart w:id="3" w:name="Item_1_-_Financial_Statements_0"/>
      <w:bookmarkEnd w:id="3"/>
      <w:r>
        <w:rPr>
          <w:rFonts w:ascii="Times New Roman" w:hAnsi="Times New Roman"/>
          <w:b/>
          <w:spacing w:val="0"/>
          <w:sz w:val="20"/>
        </w:rPr>
        <w:t>Item 1 – Financial Statements</w:t>
      </w:r>
    </w:p>
    <w:p>
      <w:pPr>
        <w:pStyle w:val="TextBody"/>
        <w:bidi w:val="0"/>
        <w:spacing w:lineRule="auto" w:line="324" w:before="120" w:after="283"/>
        <w:jc w:val="left"/>
        <w:rPr/>
      </w:pPr>
      <w:r>
        <w:rPr/>
        <w:t xml:space="preserve">  </w:t>
      </w:r>
    </w:p>
    <w:p>
      <w:pPr>
        <w:pStyle w:val="TextBody"/>
        <w:bidi w:val="0"/>
        <w:spacing w:lineRule="auto" w:line="336" w:before="0" w:after="0"/>
        <w:jc w:val="center"/>
        <w:rPr>
          <w:rFonts w:ascii="Times New Roman" w:hAnsi="Times New Roman"/>
          <w:sz w:val="18"/>
        </w:rPr>
      </w:pPr>
      <w:bookmarkStart w:id="4" w:name="Section6"/>
      <w:bookmarkEnd w:id="4"/>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36" w:before="0" w:after="0"/>
        <w:jc w:val="center"/>
        <w:rPr>
          <w:rFonts w:ascii="Times New Roman" w:hAnsi="Times New Roman"/>
          <w:sz w:val="18"/>
        </w:rPr>
      </w:pPr>
      <w:r>
        <w:rPr>
          <w:rFonts w:ascii="Times New Roman" w:hAnsi="Times New Roman"/>
          <w:b/>
          <w:sz w:val="20"/>
        </w:rPr>
        <w:t>Consolidated and Combined Statements of Operations</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lineRule="auto" w:line="336"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3"/>
        <w:gridCol w:w="90"/>
        <w:gridCol w:w="170"/>
        <w:gridCol w:w="1399"/>
        <w:gridCol w:w="185"/>
        <w:gridCol w:w="90"/>
        <w:gridCol w:w="170"/>
        <w:gridCol w:w="1324"/>
        <w:gridCol w:w="185"/>
        <w:gridCol w:w="90"/>
        <w:gridCol w:w="170"/>
        <w:gridCol w:w="1399"/>
        <w:gridCol w:w="185"/>
        <w:gridCol w:w="90"/>
        <w:gridCol w:w="170"/>
        <w:gridCol w:w="1324"/>
        <w:gridCol w:w="231"/>
      </w:tblGrid>
      <w:tr>
        <w:trPr/>
        <w:tc>
          <w:tcPr>
            <w:tcW w:w="29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23"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sz w:val="4"/>
                <w:szCs w:val="4"/>
              </w:rPr>
            </w:pPr>
            <w:r>
              <w:rPr>
                <w:sz w:val="4"/>
                <w:szCs w:val="4"/>
              </w:rPr>
            </w:r>
          </w:p>
        </w:tc>
        <w:tc>
          <w:tcPr>
            <w:tcW w:w="3569"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Two Quarterly Periods Ended</w:t>
            </w:r>
          </w:p>
        </w:tc>
      </w:tr>
      <w:tr>
        <w:trPr/>
        <w:tc>
          <w:tcPr>
            <w:tcW w:w="2933" w:type="dxa"/>
            <w:tcBorders/>
            <w:vAlign w:val="center"/>
          </w:tcPr>
          <w:p>
            <w:pPr>
              <w:pStyle w:val="TableContents"/>
              <w:bidi w:val="0"/>
              <w:spacing w:before="0" w:after="283"/>
              <w:jc w:val="left"/>
              <w:rPr>
                <w:sz w:val="16"/>
              </w:rPr>
            </w:pPr>
            <w:r>
              <w:rPr>
                <w:sz w:val="16"/>
              </w:rPr>
              <w:t>(in millions of dollars, except per share amounts)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99" w:type="dxa"/>
            <w:tcBorders>
              <w:bottom w:val="single" w:sz="6" w:space="0" w:color="000000"/>
            </w:tcBorders>
            <w:tcMar>
              <w:bottom w:w="28" w:type="dxa"/>
            </w:tcMar>
            <w:vAlign w:val="center"/>
          </w:tcPr>
          <w:p>
            <w:pPr>
              <w:pStyle w:val="TableContents"/>
              <w:bidi w:val="0"/>
              <w:spacing w:before="0" w:after="283"/>
              <w:jc w:val="center"/>
              <w:rPr>
                <w:b/>
              </w:rPr>
            </w:pPr>
            <w:r>
              <w:rPr>
                <w:b/>
              </w:rPr>
              <w:t>March 28,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4" w:type="dxa"/>
            <w:tcBorders>
              <w:bottom w:val="single" w:sz="6" w:space="0" w:color="000000"/>
            </w:tcBorders>
            <w:tcMar>
              <w:bottom w:w="28" w:type="dxa"/>
            </w:tcMar>
            <w:vAlign w:val="center"/>
          </w:tcPr>
          <w:p>
            <w:pPr>
              <w:pStyle w:val="TableContents"/>
              <w:bidi w:val="0"/>
              <w:spacing w:before="0" w:after="283"/>
              <w:jc w:val="center"/>
              <w:rPr/>
            </w:pPr>
            <w:r>
              <w:rPr/>
              <w:t>March 29, 2025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99" w:type="dxa"/>
            <w:tcBorders>
              <w:bottom w:val="single" w:sz="6" w:space="0" w:color="000000"/>
            </w:tcBorders>
            <w:tcMar>
              <w:bottom w:w="28" w:type="dxa"/>
            </w:tcMar>
            <w:vAlign w:val="center"/>
          </w:tcPr>
          <w:p>
            <w:pPr>
              <w:pStyle w:val="TableContents"/>
              <w:bidi w:val="0"/>
              <w:spacing w:before="0" w:after="283"/>
              <w:jc w:val="center"/>
              <w:rPr>
                <w:b/>
              </w:rPr>
            </w:pPr>
            <w:r>
              <w:rPr>
                <w:b/>
              </w:rPr>
              <w:t>March 28, 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24" w:type="dxa"/>
            <w:tcBorders>
              <w:bottom w:val="single" w:sz="6" w:space="0" w:color="000000"/>
            </w:tcBorders>
            <w:tcMar>
              <w:bottom w:w="28" w:type="dxa"/>
            </w:tcMar>
            <w:vAlign w:val="center"/>
          </w:tcPr>
          <w:p>
            <w:pPr>
              <w:pStyle w:val="TableContents"/>
              <w:bidi w:val="0"/>
              <w:spacing w:before="0" w:after="283"/>
              <w:jc w:val="center"/>
              <w:rPr/>
            </w:pPr>
            <w:r>
              <w:rPr/>
              <w:t>March 29, 2025</w:t>
            </w:r>
          </w:p>
        </w:tc>
        <w:tc>
          <w:tcPr>
            <w:tcW w:w="231"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2933" w:type="dxa"/>
            <w:tcBorders/>
            <w:vAlign w:val="center"/>
          </w:tcPr>
          <w:p>
            <w:pPr>
              <w:pStyle w:val="TableContents"/>
              <w:bidi w:val="0"/>
              <w:spacing w:before="0" w:after="283"/>
              <w:jc w:val="left"/>
              <w:rPr/>
            </w:pPr>
            <w:r>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399" w:type="dxa"/>
            <w:tcBorders/>
            <w:vAlign w:val="center"/>
          </w:tcPr>
          <w:p>
            <w:pPr>
              <w:pStyle w:val="TableContents"/>
              <w:bidi w:val="0"/>
              <w:spacing w:before="0" w:after="283"/>
              <w:jc w:val="right"/>
              <w:rPr>
                <w:b/>
              </w:rPr>
            </w:pPr>
            <w:r>
              <w:rPr>
                <w:b/>
              </w:rPr>
              <w:t>796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824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99" w:type="dxa"/>
            <w:tcBorders/>
            <w:vAlign w:val="center"/>
          </w:tcPr>
          <w:p>
            <w:pPr>
              <w:pStyle w:val="TableContents"/>
              <w:bidi w:val="0"/>
              <w:spacing w:before="0" w:after="283"/>
              <w:jc w:val="right"/>
              <w:rPr>
                <w:b/>
              </w:rPr>
            </w:pPr>
            <w:r>
              <w:rPr>
                <w:b/>
              </w:rPr>
              <w:t>1,588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1,526</w:t>
            </w:r>
          </w:p>
        </w:tc>
        <w:tc>
          <w:tcPr>
            <w:tcW w:w="231" w:type="dxa"/>
            <w:tcBorders/>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Costs and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Cost of goods sold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701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736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1,396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1,367</w:t>
            </w:r>
          </w:p>
        </w:tc>
        <w:tc>
          <w:tcPr>
            <w:tcW w:w="231" w:type="dxa"/>
            <w:tcBorders/>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Selling, general and administrative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47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100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94</w:t>
            </w:r>
          </w:p>
        </w:tc>
        <w:tc>
          <w:tcPr>
            <w:tcW w:w="231" w:type="dxa"/>
            <w:tcBorders/>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Amortization of intangibles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28</w:t>
            </w:r>
          </w:p>
        </w:tc>
        <w:tc>
          <w:tcPr>
            <w:tcW w:w="231" w:type="dxa"/>
            <w:tcBorders/>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Restructuring and other activities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99" w:type="dxa"/>
            <w:tcBorders>
              <w:bottom w:val="single" w:sz="2" w:space="0" w:color="000000"/>
            </w:tcBorders>
            <w:tcMar>
              <w:bottom w:w="28" w:type="dxa"/>
            </w:tcMar>
            <w:vAlign w:val="center"/>
          </w:tcPr>
          <w:p>
            <w:pPr>
              <w:pStyle w:val="TableContents"/>
              <w:bidi w:val="0"/>
              <w:spacing w:before="0" w:after="283"/>
              <w:jc w:val="right"/>
              <w:rPr>
                <w:b/>
              </w:rPr>
            </w:pPr>
            <w:r>
              <w:rPr>
                <w:b/>
              </w:rPr>
              <w:t>16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24" w:type="dxa"/>
            <w:tcBorders>
              <w:bottom w:val="single" w:sz="2" w:space="0" w:color="000000"/>
            </w:tcBorders>
            <w:tcMar>
              <w:bottom w:w="28" w:type="dxa"/>
            </w:tcMar>
            <w:vAlign w:val="center"/>
          </w:tcPr>
          <w:p>
            <w:pPr>
              <w:pStyle w:val="TableContents"/>
              <w:bidi w:val="0"/>
              <w:spacing w:before="0" w:after="283"/>
              <w:jc w:val="right"/>
              <w:rPr/>
            </w:pPr>
            <w:r>
              <w:rPr/>
              <w:t>23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99" w:type="dxa"/>
            <w:tcBorders>
              <w:bottom w:val="single" w:sz="6" w:space="0" w:color="000000"/>
            </w:tcBorders>
            <w:tcMar>
              <w:bottom w:w="28" w:type="dxa"/>
            </w:tcMar>
            <w:vAlign w:val="center"/>
          </w:tcPr>
          <w:p>
            <w:pPr>
              <w:pStyle w:val="TableContents"/>
              <w:bidi w:val="0"/>
              <w:spacing w:before="0" w:after="283"/>
              <w:jc w:val="right"/>
              <w:rPr>
                <w:b/>
              </w:rPr>
            </w:pPr>
            <w:r>
              <w:rPr>
                <w:b/>
              </w:rPr>
              <w:t>38</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4" w:type="dxa"/>
            <w:tcBorders>
              <w:bottom w:val="single" w:sz="2" w:space="0" w:color="000000"/>
            </w:tcBorders>
            <w:tcMar>
              <w:bottom w:w="28" w:type="dxa"/>
            </w:tcMar>
            <w:vAlign w:val="center"/>
          </w:tcPr>
          <w:p>
            <w:pPr>
              <w:pStyle w:val="TableContents"/>
              <w:bidi w:val="0"/>
              <w:spacing w:before="0" w:after="283"/>
              <w:jc w:val="right"/>
              <w:rPr/>
            </w:pPr>
            <w:r>
              <w:rPr/>
              <w:t>55</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Operating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(18</w:t>
            </w:r>
          </w:p>
        </w:tc>
        <w:tc>
          <w:tcPr>
            <w:tcW w:w="231" w:type="dxa"/>
            <w:tcBorders/>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(1</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26</w:t>
            </w:r>
          </w:p>
        </w:tc>
        <w:tc>
          <w:tcPr>
            <w:tcW w:w="231" w:type="dxa"/>
            <w:tcBorders/>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Interest expense, net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99" w:type="dxa"/>
            <w:tcBorders>
              <w:bottom w:val="single" w:sz="2" w:space="0" w:color="000000"/>
            </w:tcBorders>
            <w:tcMar>
              <w:bottom w:w="28" w:type="dxa"/>
            </w:tcMar>
            <w:vAlign w:val="center"/>
          </w:tcPr>
          <w:p>
            <w:pPr>
              <w:pStyle w:val="TableContents"/>
              <w:bidi w:val="0"/>
              <w:spacing w:before="0" w:after="283"/>
              <w:jc w:val="right"/>
              <w:rPr>
                <w:b/>
              </w:rPr>
            </w:pPr>
            <w:r>
              <w:rPr>
                <w:b/>
              </w:rPr>
              <w:t>35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24" w:type="dxa"/>
            <w:tcBorders>
              <w:bottom w:val="single" w:sz="2" w:space="0" w:color="000000"/>
            </w:tcBorders>
            <w:tcMar>
              <w:bottom w:w="28" w:type="dxa"/>
            </w:tcMar>
            <w:vAlign w:val="center"/>
          </w:tcPr>
          <w:p>
            <w:pPr>
              <w:pStyle w:val="TableContents"/>
              <w:bidi w:val="0"/>
              <w:spacing w:before="0" w:after="283"/>
              <w:jc w:val="right"/>
              <w:rPr/>
            </w:pPr>
            <w:r>
              <w:rPr/>
              <w:t>39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99" w:type="dxa"/>
            <w:tcBorders>
              <w:bottom w:val="single" w:sz="6" w:space="0" w:color="000000"/>
            </w:tcBorders>
            <w:tcMar>
              <w:bottom w:w="28" w:type="dxa"/>
            </w:tcMar>
            <w:vAlign w:val="center"/>
          </w:tcPr>
          <w:p>
            <w:pPr>
              <w:pStyle w:val="TableContents"/>
              <w:bidi w:val="0"/>
              <w:spacing w:before="0" w:after="283"/>
              <w:jc w:val="right"/>
              <w:rPr>
                <w:b/>
              </w:rPr>
            </w:pPr>
            <w:r>
              <w:rPr>
                <w:b/>
              </w:rPr>
              <w:t>75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24" w:type="dxa"/>
            <w:tcBorders>
              <w:bottom w:val="single" w:sz="2" w:space="0" w:color="000000"/>
            </w:tcBorders>
            <w:tcMar>
              <w:bottom w:w="28" w:type="dxa"/>
            </w:tcMar>
            <w:vAlign w:val="center"/>
          </w:tcPr>
          <w:p>
            <w:pPr>
              <w:pStyle w:val="TableContents"/>
              <w:bidi w:val="0"/>
              <w:spacing w:before="0" w:after="283"/>
              <w:jc w:val="right"/>
              <w:rPr/>
            </w:pPr>
            <w:r>
              <w:rPr/>
              <w:t>65</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Loss before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(17</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(109</w:t>
            </w:r>
          </w:p>
        </w:tc>
        <w:tc>
          <w:tcPr>
            <w:tcW w:w="231" w:type="dxa"/>
            <w:tcBorders/>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Income tax expense (benefit)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99" w:type="dxa"/>
            <w:tcBorders>
              <w:bottom w:val="single" w:sz="2" w:space="0" w:color="000000"/>
            </w:tcBorders>
            <w:tcMar>
              <w:bottom w:w="28" w:type="dxa"/>
            </w:tcMar>
            <w:vAlign w:val="center"/>
          </w:tcPr>
          <w:p>
            <w:pPr>
              <w:pStyle w:val="TableContents"/>
              <w:bidi w:val="0"/>
              <w:spacing w:before="0" w:after="283"/>
              <w:jc w:val="right"/>
              <w:rPr>
                <w:b/>
              </w:rPr>
            </w:pPr>
            <w:r>
              <w:rPr>
                <w:b/>
              </w:rPr>
              <w:t>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24" w:type="dxa"/>
            <w:tcBorders>
              <w:bottom w:val="single" w:sz="2" w:space="0" w:color="000000"/>
            </w:tcBorders>
            <w:tcMar>
              <w:bottom w:w="28" w:type="dxa"/>
            </w:tcMar>
            <w:vAlign w:val="center"/>
          </w:tcPr>
          <w:p>
            <w:pPr>
              <w:pStyle w:val="TableContents"/>
              <w:bidi w:val="0"/>
              <w:spacing w:before="0" w:after="283"/>
              <w:jc w:val="right"/>
              <w:rPr/>
            </w:pPr>
            <w:r>
              <w:rPr/>
              <w:t>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99" w:type="dxa"/>
            <w:tcBorders>
              <w:bottom w:val="single" w:sz="2" w:space="0" w:color="000000"/>
            </w:tcBorders>
            <w:tcMar>
              <w:bottom w:w="28" w:type="dxa"/>
            </w:tcMar>
            <w:vAlign w:val="center"/>
          </w:tcPr>
          <w:p>
            <w:pPr>
              <w:pStyle w:val="TableContents"/>
              <w:bidi w:val="0"/>
              <w:spacing w:before="0" w:after="283"/>
              <w:jc w:val="right"/>
              <w:rPr>
                <w:b/>
              </w:rPr>
            </w:pPr>
            <w:r>
              <w:rPr>
                <w:b/>
              </w:rPr>
              <w:t>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24" w:type="dxa"/>
            <w:tcBorders>
              <w:bottom w:val="single" w:sz="2" w:space="0" w:color="000000"/>
            </w:tcBorders>
            <w:tcMar>
              <w:bottom w:w="28" w:type="dxa"/>
            </w:tcMar>
            <w:vAlign w:val="center"/>
          </w:tcPr>
          <w:p>
            <w:pPr>
              <w:pStyle w:val="TableContents"/>
              <w:bidi w:val="0"/>
              <w:spacing w:before="0" w:after="283"/>
              <w:jc w:val="right"/>
              <w:rPr/>
            </w:pPr>
            <w:r>
              <w:rPr/>
              <w:t>(8</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399" w:type="dxa"/>
            <w:tcBorders>
              <w:bottom w:val="double" w:sz="6" w:space="0" w:color="000000"/>
            </w:tcBorders>
            <w:tcMar>
              <w:bottom w:w="28" w:type="dxa"/>
            </w:tcMar>
            <w:vAlign w:val="center"/>
          </w:tcPr>
          <w:p>
            <w:pPr>
              <w:pStyle w:val="TableContents"/>
              <w:bidi w:val="0"/>
              <w:spacing w:before="0" w:after="283"/>
              <w:jc w:val="right"/>
              <w:rPr>
                <w:b/>
              </w:rPr>
            </w:pPr>
            <w:r>
              <w:rPr>
                <w:b/>
              </w:rPr>
              <w:t>(18</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24" w:type="dxa"/>
            <w:tcBorders>
              <w:bottom w:val="double" w:sz="6" w:space="0" w:color="000000"/>
            </w:tcBorders>
            <w:tcMar>
              <w:bottom w:w="28" w:type="dxa"/>
            </w:tcMar>
            <w:vAlign w:val="center"/>
          </w:tcPr>
          <w:p>
            <w:pPr>
              <w:pStyle w:val="TableContents"/>
              <w:bidi w:val="0"/>
              <w:spacing w:before="0" w:after="283"/>
              <w:jc w:val="right"/>
              <w:rPr/>
            </w:pPr>
            <w:r>
              <w:rPr/>
              <w:t>(41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99" w:type="dxa"/>
            <w:tcBorders>
              <w:bottom w:val="double" w:sz="6" w:space="0" w:color="000000"/>
            </w:tcBorders>
            <w:tcMar>
              <w:bottom w:w="28" w:type="dxa"/>
            </w:tcMar>
            <w:vAlign w:val="center"/>
          </w:tcPr>
          <w:p>
            <w:pPr>
              <w:pStyle w:val="TableContents"/>
              <w:bidi w:val="0"/>
              <w:spacing w:before="0" w:after="283"/>
              <w:jc w:val="right"/>
              <w:rPr>
                <w:b/>
              </w:rPr>
            </w:pPr>
            <w:r>
              <w:rPr>
                <w:b/>
              </w:rPr>
              <w:t>(52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24" w:type="dxa"/>
            <w:tcBorders>
              <w:bottom w:val="double" w:sz="6" w:space="0" w:color="000000"/>
            </w:tcBorders>
            <w:tcMar>
              <w:bottom w:w="28" w:type="dxa"/>
            </w:tcMar>
            <w:vAlign w:val="center"/>
          </w:tcPr>
          <w:p>
            <w:pPr>
              <w:pStyle w:val="TableContents"/>
              <w:bidi w:val="0"/>
              <w:spacing w:before="0" w:after="283"/>
              <w:jc w:val="right"/>
              <w:rPr/>
            </w:pPr>
            <w:r>
              <w:rPr/>
              <w:t>(101</w:t>
            </w:r>
          </w:p>
        </w:tc>
        <w:tc>
          <w:tcPr>
            <w:tcW w:w="231"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2933" w:type="dxa"/>
            <w:tcBorders/>
            <w:vAlign w:val="center"/>
          </w:tcPr>
          <w:p>
            <w:pPr>
              <w:pStyle w:val="TableContents"/>
              <w:bidi w:val="0"/>
              <w:spacing w:before="0" w:after="283"/>
              <w:jc w:val="left"/>
              <w:rPr/>
            </w:pPr>
            <w:r>
              <w:rPr/>
              <w:t>Net loss per share: Basic and diluted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399" w:type="dxa"/>
            <w:tcBorders/>
            <w:vAlign w:val="center"/>
          </w:tcPr>
          <w:p>
            <w:pPr>
              <w:pStyle w:val="TableContents"/>
              <w:bidi w:val="0"/>
              <w:spacing w:before="0" w:after="283"/>
              <w:jc w:val="right"/>
              <w:rPr>
                <w:b/>
              </w:rPr>
            </w:pPr>
            <w:r>
              <w:rPr>
                <w:b/>
              </w:rPr>
              <w:t>(0.50</w:t>
            </w:r>
          </w:p>
        </w:tc>
        <w:tc>
          <w:tcPr>
            <w:tcW w:w="18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(1.15</w:t>
            </w:r>
          </w:p>
        </w:tc>
        <w:tc>
          <w:tcPr>
            <w:tcW w:w="18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99" w:type="dxa"/>
            <w:tcBorders/>
            <w:vAlign w:val="center"/>
          </w:tcPr>
          <w:p>
            <w:pPr>
              <w:pStyle w:val="TableContents"/>
              <w:bidi w:val="0"/>
              <w:spacing w:before="0" w:after="283"/>
              <w:jc w:val="right"/>
              <w:rPr>
                <w:b/>
              </w:rPr>
            </w:pPr>
            <w:r>
              <w:rPr>
                <w:b/>
              </w:rPr>
              <w:t>(1.45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(2.85</w:t>
            </w:r>
          </w:p>
        </w:tc>
        <w:tc>
          <w:tcPr>
            <w:tcW w:w="231" w:type="dxa"/>
            <w:tcBorders/>
            <w:vAlign w:val="center"/>
          </w:tcPr>
          <w:p>
            <w:pPr>
              <w:pStyle w:val="TableContents"/>
              <w:bidi w:val="0"/>
              <w:spacing w:before="0" w:after="283"/>
              <w:jc w:val="left"/>
              <w:rPr/>
            </w:pPr>
            <w:r>
              <w:rPr/>
              <w:t>) </w:t>
            </w:r>
          </w:p>
        </w:tc>
      </w:tr>
    </w:tbl>
    <w:p>
      <w:pPr>
        <w:pStyle w:val="TextBody"/>
        <w:bidi w:val="0"/>
        <w:spacing w:lineRule="auto" w:line="336" w:before="0" w:after="0"/>
        <w:jc w:val="center"/>
        <w:rPr/>
      </w:pPr>
      <w:r>
        <w:rPr/>
        <w:t> </w:t>
      </w:r>
    </w:p>
    <w:p>
      <w:pPr>
        <w:pStyle w:val="TextBody"/>
        <w:bidi w:val="0"/>
        <w:spacing w:lineRule="auto" w:line="336" w:before="0" w:after="0"/>
        <w:jc w:val="center"/>
        <w:rPr>
          <w:rFonts w:ascii="Times New Roman" w:hAnsi="Times New Roman"/>
          <w:sz w:val="18"/>
        </w:rPr>
      </w:pPr>
      <w:r>
        <w:rPr>
          <w:rFonts w:ascii="Times New Roman" w:hAnsi="Times New Roman"/>
          <w:b/>
          <w:sz w:val="20"/>
        </w:rPr>
        <w:t>Consolidated and Combined Statements of Comprehensive Loss</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tbl>
      <w:tblPr>
        <w:tblW w:w="961" w:type="dxa"/>
        <w:jc w:val="left"/>
        <w:tblInd w:w="0" w:type="dxa"/>
        <w:tblLayout w:type="fixed"/>
        <w:tblCellMar>
          <w:top w:w="0" w:type="dxa"/>
          <w:left w:w="0" w:type="dxa"/>
          <w:bottom w:w="0" w:type="dxa"/>
          <w:right w:w="0" w:type="dxa"/>
        </w:tblCellMar>
      </w:tblPr>
      <w:tblGrid>
        <w:gridCol w:w="68"/>
        <w:gridCol w:w="53"/>
        <w:gridCol w:w="53"/>
        <w:gridCol w:w="53"/>
        <w:gridCol w:w="53"/>
        <w:gridCol w:w="53"/>
        <w:gridCol w:w="53"/>
        <w:gridCol w:w="53"/>
        <w:gridCol w:w="53"/>
        <w:gridCol w:w="53"/>
        <w:gridCol w:w="53"/>
        <w:gridCol w:w="53"/>
        <w:gridCol w:w="53"/>
        <w:gridCol w:w="53"/>
        <w:gridCol w:w="53"/>
        <w:gridCol w:w="53"/>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4"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169"/>
        <w:gridCol w:w="90"/>
        <w:gridCol w:w="170"/>
        <w:gridCol w:w="1358"/>
        <w:gridCol w:w="185"/>
        <w:gridCol w:w="90"/>
        <w:gridCol w:w="170"/>
        <w:gridCol w:w="1283"/>
        <w:gridCol w:w="185"/>
        <w:gridCol w:w="90"/>
        <w:gridCol w:w="170"/>
        <w:gridCol w:w="1283"/>
        <w:gridCol w:w="185"/>
        <w:gridCol w:w="90"/>
        <w:gridCol w:w="170"/>
        <w:gridCol w:w="1283"/>
        <w:gridCol w:w="234"/>
      </w:tblGrid>
      <w:tr>
        <w:trPr/>
        <w:tc>
          <w:tcPr>
            <w:tcW w:w="316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 </w:t>
            </w:r>
          </w:p>
        </w:tc>
      </w:tr>
      <w:tr>
        <w:trPr/>
        <w:tc>
          <w:tcPr>
            <w:tcW w:w="316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41"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sz w:val="4"/>
                <w:szCs w:val="4"/>
              </w:rPr>
            </w:pPr>
            <w:r>
              <w:rPr>
                <w:sz w:val="4"/>
                <w:szCs w:val="4"/>
              </w:rPr>
            </w:r>
          </w:p>
        </w:tc>
        <w:tc>
          <w:tcPr>
            <w:tcW w:w="341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Two Quarterly Periods Ended</w:t>
            </w:r>
          </w:p>
        </w:tc>
      </w:tr>
      <w:tr>
        <w:trPr/>
        <w:tc>
          <w:tcPr>
            <w:tcW w:w="3169" w:type="dxa"/>
            <w:tcBorders/>
            <w:vAlign w:val="center"/>
          </w:tcPr>
          <w:p>
            <w:pPr>
              <w:pStyle w:val="TableContents"/>
              <w:bidi w:val="0"/>
              <w:spacing w:before="0" w:after="283"/>
              <w:jc w:val="left"/>
              <w:rPr>
                <w:sz w:val="16"/>
              </w:rPr>
            </w:pPr>
            <w:r>
              <w:rPr>
                <w:sz w:val="16"/>
              </w:rPr>
              <w:t>(in millions of dollars)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8" w:type="dxa"/>
            <w:tcBorders>
              <w:bottom w:val="single" w:sz="6" w:space="0" w:color="000000"/>
            </w:tcBorders>
            <w:tcMar>
              <w:bottom w:w="28" w:type="dxa"/>
            </w:tcMar>
            <w:vAlign w:val="center"/>
          </w:tcPr>
          <w:p>
            <w:pPr>
              <w:pStyle w:val="TableContents"/>
              <w:bidi w:val="0"/>
              <w:spacing w:before="0" w:after="283"/>
              <w:jc w:val="center"/>
              <w:rPr>
                <w:b/>
              </w:rPr>
            </w:pPr>
            <w:r>
              <w:rPr>
                <w:b/>
              </w:rPr>
              <w:t>March 28,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3" w:type="dxa"/>
            <w:tcBorders>
              <w:bottom w:val="single" w:sz="6" w:space="0" w:color="000000"/>
            </w:tcBorders>
            <w:tcMar>
              <w:bottom w:w="28" w:type="dxa"/>
            </w:tcMar>
            <w:vAlign w:val="center"/>
          </w:tcPr>
          <w:p>
            <w:pPr>
              <w:pStyle w:val="TableContents"/>
              <w:bidi w:val="0"/>
              <w:spacing w:before="0" w:after="283"/>
              <w:jc w:val="center"/>
              <w:rPr/>
            </w:pPr>
            <w:r>
              <w:rPr/>
              <w:t>March 29, 2025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83" w:type="dxa"/>
            <w:tcBorders>
              <w:bottom w:val="single" w:sz="6" w:space="0" w:color="000000"/>
            </w:tcBorders>
            <w:tcMar>
              <w:bottom w:w="28" w:type="dxa"/>
            </w:tcMar>
            <w:vAlign w:val="center"/>
          </w:tcPr>
          <w:p>
            <w:pPr>
              <w:pStyle w:val="TableContents"/>
              <w:bidi w:val="0"/>
              <w:spacing w:before="0" w:after="283"/>
              <w:jc w:val="center"/>
              <w:rPr/>
            </w:pPr>
            <w:r>
              <w:rPr/>
              <w:t>March 28, 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83" w:type="dxa"/>
            <w:tcBorders>
              <w:bottom w:val="single" w:sz="6" w:space="0" w:color="000000"/>
            </w:tcBorders>
            <w:tcMar>
              <w:bottom w:w="28" w:type="dxa"/>
            </w:tcMar>
            <w:vAlign w:val="center"/>
          </w:tcPr>
          <w:p>
            <w:pPr>
              <w:pStyle w:val="TableContents"/>
              <w:bidi w:val="0"/>
              <w:spacing w:before="0" w:after="283"/>
              <w:jc w:val="center"/>
              <w:rPr/>
            </w:pPr>
            <w:r>
              <w:rPr/>
              <w:t>March 29, 2025</w:t>
            </w:r>
          </w:p>
        </w:tc>
        <w:tc>
          <w:tcPr>
            <w:tcW w:w="234"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169"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358" w:type="dxa"/>
            <w:tcBorders/>
            <w:vAlign w:val="center"/>
          </w:tcPr>
          <w:p>
            <w:pPr>
              <w:pStyle w:val="TableContents"/>
              <w:bidi w:val="0"/>
              <w:spacing w:before="0" w:after="283"/>
              <w:jc w:val="right"/>
              <w:rPr>
                <w:b/>
              </w:rPr>
            </w:pPr>
            <w:r>
              <w:rPr>
                <w:b/>
              </w:rPr>
              <w:t>(18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83" w:type="dxa"/>
            <w:tcBorders/>
            <w:vAlign w:val="center"/>
          </w:tcPr>
          <w:p>
            <w:pPr>
              <w:pStyle w:val="TableContents"/>
              <w:bidi w:val="0"/>
              <w:spacing w:before="0" w:after="283"/>
              <w:jc w:val="right"/>
              <w:rPr/>
            </w:pPr>
            <w:r>
              <w:rPr/>
              <w:t>(41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1283" w:type="dxa"/>
            <w:tcBorders/>
            <w:vAlign w:val="center"/>
          </w:tcPr>
          <w:p>
            <w:pPr>
              <w:pStyle w:val="TableContents"/>
              <w:bidi w:val="0"/>
              <w:spacing w:before="0" w:after="283"/>
              <w:jc w:val="right"/>
              <w:rPr>
                <w:b/>
              </w:rPr>
            </w:pPr>
            <w:r>
              <w:rPr>
                <w:b/>
              </w:rPr>
              <w:t>(52</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283" w:type="dxa"/>
            <w:tcBorders/>
            <w:vAlign w:val="center"/>
          </w:tcPr>
          <w:p>
            <w:pPr>
              <w:pStyle w:val="TableContents"/>
              <w:bidi w:val="0"/>
              <w:spacing w:before="0" w:after="283"/>
              <w:jc w:val="right"/>
              <w:rPr/>
            </w:pPr>
            <w:r>
              <w:rPr/>
              <w:t>(101</w:t>
            </w:r>
          </w:p>
        </w:tc>
        <w:tc>
          <w:tcPr>
            <w:tcW w:w="234" w:type="dxa"/>
            <w:tcBorders/>
            <w:vAlign w:val="center"/>
          </w:tcPr>
          <w:p>
            <w:pPr>
              <w:pStyle w:val="TableContents"/>
              <w:bidi w:val="0"/>
              <w:spacing w:before="0" w:after="283"/>
              <w:jc w:val="left"/>
              <w:rPr/>
            </w:pPr>
            <w:r>
              <w:rPr/>
              <w:t>) </w:t>
            </w:r>
          </w:p>
        </w:tc>
      </w:tr>
      <w:tr>
        <w:trPr/>
        <w:tc>
          <w:tcPr>
            <w:tcW w:w="3169" w:type="dxa"/>
            <w:tcBorders/>
            <w:vAlign w:val="center"/>
          </w:tcPr>
          <w:p>
            <w:pPr>
              <w:pStyle w:val="TableContents"/>
              <w:bidi w:val="0"/>
              <w:spacing w:before="0" w:after="283"/>
              <w:jc w:val="left"/>
              <w:rPr/>
            </w:pPr>
            <w:r>
              <w:rPr/>
              <w:t>Other comprehensive income, net of tax:</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3169" w:type="dxa"/>
            <w:tcBorders/>
            <w:vAlign w:val="center"/>
          </w:tcPr>
          <w:p>
            <w:pPr>
              <w:pStyle w:val="TableContents"/>
              <w:bidi w:val="0"/>
              <w:spacing w:before="0" w:after="283"/>
              <w:jc w:val="left"/>
              <w:rPr/>
            </w:pPr>
            <w:r>
              <w:rPr/>
              <w:t>Currency translation gain (loss)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58" w:type="dxa"/>
            <w:tcBorders>
              <w:bottom w:val="single" w:sz="2" w:space="0" w:color="000000"/>
            </w:tcBorders>
            <w:tcMar>
              <w:bottom w:w="28" w:type="dxa"/>
            </w:tcMar>
            <w:vAlign w:val="center"/>
          </w:tcPr>
          <w:p>
            <w:pPr>
              <w:pStyle w:val="TableContents"/>
              <w:bidi w:val="0"/>
              <w:spacing w:before="0" w:after="283"/>
              <w:jc w:val="right"/>
              <w:rPr>
                <w:b/>
              </w:rPr>
            </w:pPr>
            <w:r>
              <w:rPr>
                <w:b/>
              </w:rPr>
              <w:t>15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2" w:space="0" w:color="000000"/>
            </w:tcBorders>
            <w:tcMar>
              <w:bottom w:w="28" w:type="dxa"/>
            </w:tcMar>
            <w:vAlign w:val="center"/>
          </w:tcPr>
          <w:p>
            <w:pPr>
              <w:pStyle w:val="TableContents"/>
              <w:bidi w:val="0"/>
              <w:spacing w:before="0" w:after="283"/>
              <w:jc w:val="right"/>
              <w:rPr/>
            </w:pPr>
            <w:r>
              <w:rPr/>
              <w:t>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3" w:type="dxa"/>
            <w:tcBorders>
              <w:bottom w:val="single" w:sz="6" w:space="0" w:color="000000"/>
            </w:tcBorders>
            <w:tcMar>
              <w:bottom w:w="28" w:type="dxa"/>
            </w:tcMar>
            <w:vAlign w:val="center"/>
          </w:tcPr>
          <w:p>
            <w:pPr>
              <w:pStyle w:val="TableContents"/>
              <w:bidi w:val="0"/>
              <w:spacing w:before="0" w:after="283"/>
              <w:jc w:val="right"/>
              <w:rPr>
                <w:b/>
              </w:rPr>
            </w:pPr>
            <w:r>
              <w:rPr>
                <w:b/>
              </w:rPr>
              <w:t>18</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3" w:type="dxa"/>
            <w:tcBorders>
              <w:bottom w:val="single" w:sz="2" w:space="0" w:color="000000"/>
            </w:tcBorders>
            <w:tcMar>
              <w:bottom w:w="28" w:type="dxa"/>
            </w:tcMar>
            <w:vAlign w:val="center"/>
          </w:tcPr>
          <w:p>
            <w:pPr>
              <w:pStyle w:val="TableContents"/>
              <w:bidi w:val="0"/>
              <w:spacing w:before="0" w:after="283"/>
              <w:jc w:val="right"/>
              <w:rPr/>
            </w:pPr>
            <w:r>
              <w:rPr/>
              <w:t>(46</w:t>
            </w:r>
          </w:p>
        </w:tc>
        <w:tc>
          <w:tcPr>
            <w:tcW w:w="23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169" w:type="dxa"/>
            <w:tcBorders/>
            <w:vAlign w:val="center"/>
          </w:tcPr>
          <w:p>
            <w:pPr>
              <w:pStyle w:val="TableContents"/>
              <w:bidi w:val="0"/>
              <w:spacing w:before="0" w:after="283"/>
              <w:jc w:val="left"/>
              <w:rPr/>
            </w:pPr>
            <w:r>
              <w:rPr/>
              <w:t>Other comprehensive income (loss)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58" w:type="dxa"/>
            <w:tcBorders>
              <w:bottom w:val="single" w:sz="2" w:space="0" w:color="000000"/>
            </w:tcBorders>
            <w:tcMar>
              <w:bottom w:w="28" w:type="dxa"/>
            </w:tcMar>
            <w:vAlign w:val="center"/>
          </w:tcPr>
          <w:p>
            <w:pPr>
              <w:pStyle w:val="TableContents"/>
              <w:bidi w:val="0"/>
              <w:spacing w:before="0" w:after="283"/>
              <w:jc w:val="right"/>
              <w:rPr>
                <w:b/>
              </w:rPr>
            </w:pPr>
            <w:r>
              <w:rPr>
                <w:b/>
              </w:rPr>
              <w:t>15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2" w:space="0" w:color="000000"/>
            </w:tcBorders>
            <w:tcMar>
              <w:bottom w:w="28" w:type="dxa"/>
            </w:tcMar>
            <w:vAlign w:val="center"/>
          </w:tcPr>
          <w:p>
            <w:pPr>
              <w:pStyle w:val="TableContents"/>
              <w:bidi w:val="0"/>
              <w:spacing w:before="0" w:after="283"/>
              <w:jc w:val="right"/>
              <w:rPr/>
            </w:pPr>
            <w:r>
              <w:rPr/>
              <w:t>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3" w:type="dxa"/>
            <w:tcBorders>
              <w:bottom w:val="single" w:sz="6" w:space="0" w:color="000000"/>
            </w:tcBorders>
            <w:tcMar>
              <w:bottom w:w="28" w:type="dxa"/>
            </w:tcMar>
            <w:vAlign w:val="center"/>
          </w:tcPr>
          <w:p>
            <w:pPr>
              <w:pStyle w:val="TableContents"/>
              <w:bidi w:val="0"/>
              <w:spacing w:before="0" w:after="283"/>
              <w:jc w:val="right"/>
              <w:rPr>
                <w:b/>
              </w:rPr>
            </w:pPr>
            <w:r>
              <w:rPr>
                <w:b/>
              </w:rPr>
              <w:t>18</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83" w:type="dxa"/>
            <w:tcBorders>
              <w:bottom w:val="single" w:sz="2" w:space="0" w:color="000000"/>
            </w:tcBorders>
            <w:tcMar>
              <w:bottom w:w="28" w:type="dxa"/>
            </w:tcMar>
            <w:vAlign w:val="center"/>
          </w:tcPr>
          <w:p>
            <w:pPr>
              <w:pStyle w:val="TableContents"/>
              <w:bidi w:val="0"/>
              <w:spacing w:before="0" w:after="283"/>
              <w:jc w:val="right"/>
              <w:rPr/>
            </w:pPr>
            <w:r>
              <w:rPr/>
              <w:t>(46</w:t>
            </w:r>
          </w:p>
        </w:tc>
        <w:tc>
          <w:tcPr>
            <w:tcW w:w="23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169" w:type="dxa"/>
            <w:tcBorders/>
            <w:vAlign w:val="center"/>
          </w:tcPr>
          <w:p>
            <w:pPr>
              <w:pStyle w:val="TableContents"/>
              <w:bidi w:val="0"/>
              <w:spacing w:before="0" w:after="283"/>
              <w:jc w:val="left"/>
              <w:rPr/>
            </w:pPr>
            <w:r>
              <w:rPr/>
              <w:t>Comprehensive loss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358" w:type="dxa"/>
            <w:tcBorders>
              <w:bottom w:val="double" w:sz="6" w:space="0" w:color="000000"/>
            </w:tcBorders>
            <w:tcMar>
              <w:bottom w:w="28" w:type="dxa"/>
            </w:tcMar>
            <w:vAlign w:val="center"/>
          </w:tcPr>
          <w:p>
            <w:pPr>
              <w:pStyle w:val="TableContents"/>
              <w:bidi w:val="0"/>
              <w:spacing w:before="0" w:after="283"/>
              <w:jc w:val="right"/>
              <w:rPr>
                <w:b/>
              </w:rPr>
            </w:pPr>
            <w:r>
              <w:rPr>
                <w:b/>
              </w:rPr>
              <w:t>(3</w:t>
            </w:r>
          </w:p>
        </w:tc>
        <w:tc>
          <w:tcPr>
            <w:tcW w:w="185" w:type="dxa"/>
            <w:tcBorders>
              <w:bottom w:val="double" w:sz="6"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83" w:type="dxa"/>
            <w:tcBorders>
              <w:bottom w:val="double" w:sz="6" w:space="0" w:color="000000"/>
            </w:tcBorders>
            <w:tcMar>
              <w:bottom w:w="28" w:type="dxa"/>
            </w:tcMar>
            <w:vAlign w:val="center"/>
          </w:tcPr>
          <w:p>
            <w:pPr>
              <w:pStyle w:val="TableContents"/>
              <w:bidi w:val="0"/>
              <w:spacing w:before="0" w:after="283"/>
              <w:jc w:val="right"/>
              <w:rPr/>
            </w:pPr>
            <w:r>
              <w:rPr/>
              <w:t>(16</w:t>
            </w:r>
          </w:p>
        </w:tc>
        <w:tc>
          <w:tcPr>
            <w:tcW w:w="185" w:type="dxa"/>
            <w:tcBorders>
              <w:bottom w:val="double" w:sz="6"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tcMar>
              <w:bottom w:w="28" w:type="dxa"/>
            </w:tcMar>
            <w:vAlign w:val="center"/>
          </w:tcPr>
          <w:p>
            <w:pPr>
              <w:pStyle w:val="TableContents"/>
              <w:bidi w:val="0"/>
              <w:spacing w:before="0" w:after="283"/>
              <w:jc w:val="right"/>
              <w:rPr>
                <w:b/>
              </w:rPr>
            </w:pPr>
            <w:r>
              <w:rPr>
                <w:b/>
              </w:rPr>
              <w:t>(34</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283" w:type="dxa"/>
            <w:tcBorders>
              <w:bottom w:val="double" w:sz="6" w:space="0" w:color="000000"/>
            </w:tcBorders>
            <w:tcMar>
              <w:bottom w:w="28" w:type="dxa"/>
            </w:tcMar>
            <w:vAlign w:val="center"/>
          </w:tcPr>
          <w:p>
            <w:pPr>
              <w:pStyle w:val="TableContents"/>
              <w:bidi w:val="0"/>
              <w:spacing w:before="0" w:after="283"/>
              <w:jc w:val="right"/>
              <w:rPr/>
            </w:pPr>
            <w:r>
              <w:rPr/>
              <w:t>(147</w:t>
            </w:r>
          </w:p>
        </w:tc>
        <w:tc>
          <w:tcPr>
            <w:tcW w:w="234"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14" w:before="0" w:after="0"/>
        <w:jc w:val="center"/>
        <w:rPr/>
      </w:pPr>
      <w:r>
        <w:rPr/>
        <w:t> </w:t>
      </w:r>
    </w:p>
    <w:p>
      <w:pPr>
        <w:pStyle w:val="TextBody"/>
        <w:bidi w:val="0"/>
        <w:spacing w:lineRule="auto" w:line="314" w:before="0" w:after="0"/>
        <w:jc w:val="center"/>
        <w:rPr>
          <w:rFonts w:ascii="Times New Roman" w:hAnsi="Times New Roman"/>
          <w:sz w:val="18"/>
        </w:rPr>
      </w:pPr>
      <w:r>
        <w:rPr>
          <w:rFonts w:ascii="Times New Roman" w:hAnsi="Times New Roman"/>
          <w:i/>
          <w:sz w:val="20"/>
        </w:rPr>
        <w:t>See notes to Condensed Consolidated and Combined Financial Statements.</w:t>
      </w:r>
      <w:r>
        <w:rPr>
          <w:rFonts w:ascii="Times New Roman" w:hAnsi="Times New Roman"/>
          <w:sz w:val="18"/>
        </w:rPr>
        <w:t xml:space="preserve"> </w:t>
      </w:r>
    </w:p>
    <w:p>
      <w:pPr>
        <w:pStyle w:val="TextBody"/>
        <w:bidi w:val="0"/>
        <w:spacing w:lineRule="auto" w:line="314" w:before="0" w:after="0"/>
        <w:jc w:val="center"/>
        <w:rPr/>
      </w:pPr>
      <w:r>
        <w:rPr/>
        <w:t xml:space="preserve">  </w:t>
      </w:r>
    </w:p>
    <w:p>
      <w:pPr>
        <w:pStyle w:val="TextBody"/>
        <w:bidi w:val="0"/>
        <w:spacing w:lineRule="auto" w:line="314" w:before="0" w:after="0"/>
        <w:jc w:val="center"/>
        <w:rPr/>
      </w:pPr>
      <w:r>
        <w:rPr/>
        <w:t> </w:t>
      </w:r>
      <w:bookmarkStart w:id="5" w:name="Section7"/>
      <w:bookmarkEnd w:id="5"/>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36" w:before="0" w:after="0"/>
        <w:jc w:val="center"/>
        <w:rPr>
          <w:rFonts w:ascii="Times New Roman" w:hAnsi="Times New Roman"/>
          <w:sz w:val="18"/>
        </w:rPr>
      </w:pPr>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36" w:before="0" w:after="120"/>
        <w:jc w:val="center"/>
        <w:rPr>
          <w:rFonts w:ascii="Times New Roman" w:hAnsi="Times New Roman"/>
          <w:sz w:val="18"/>
        </w:rPr>
      </w:pPr>
      <w:r>
        <w:rPr>
          <w:rFonts w:ascii="Times New Roman" w:hAnsi="Times New Roman"/>
          <w:b/>
          <w:sz w:val="20"/>
        </w:rPr>
        <w:t>Condensed Consolidated Balance Sheets</w:t>
      </w:r>
      <w:r>
        <w:rPr>
          <w:rFonts w:ascii="Times New Roman" w:hAnsi="Times New Roman"/>
          <w:sz w:val="18"/>
        </w:rPr>
        <w:t xml:space="preserve"> </w:t>
      </w:r>
    </w:p>
    <w:tbl>
      <w:tblPr>
        <w:tblW w:w="10205" w:type="dxa"/>
        <w:jc w:val="left"/>
        <w:tblInd w:w="0" w:type="dxa"/>
        <w:tblLayout w:type="fixed"/>
        <w:tblCellMar>
          <w:top w:w="0" w:type="dxa"/>
          <w:left w:w="0" w:type="dxa"/>
          <w:bottom w:w="0" w:type="dxa"/>
          <w:right w:w="0" w:type="dxa"/>
        </w:tblCellMar>
      </w:tblPr>
      <w:tblGrid>
        <w:gridCol w:w="5812"/>
        <w:gridCol w:w="90"/>
        <w:gridCol w:w="170"/>
        <w:gridCol w:w="1589"/>
        <w:gridCol w:w="185"/>
        <w:gridCol w:w="90"/>
        <w:gridCol w:w="170"/>
        <w:gridCol w:w="1868"/>
        <w:gridCol w:w="231"/>
      </w:tblGrid>
      <w:tr>
        <w:trPr/>
        <w:tc>
          <w:tcPr>
            <w:tcW w:w="58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812" w:type="dxa"/>
            <w:tcBorders/>
            <w:vAlign w:val="center"/>
          </w:tcPr>
          <w:p>
            <w:pPr>
              <w:pStyle w:val="TableContents"/>
              <w:bidi w:val="0"/>
              <w:spacing w:before="0" w:after="283"/>
              <w:jc w:val="left"/>
              <w:rPr>
                <w:sz w:val="16"/>
              </w:rPr>
            </w:pPr>
            <w:r>
              <w:rPr>
                <w:sz w:val="16"/>
              </w:rPr>
              <w:t>(in millions of dollars)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89" w:type="dxa"/>
            <w:tcBorders>
              <w:bottom w:val="single" w:sz="6" w:space="0" w:color="000000"/>
            </w:tcBorders>
            <w:tcMar>
              <w:bottom w:w="28" w:type="dxa"/>
            </w:tcMar>
            <w:vAlign w:val="center"/>
          </w:tcPr>
          <w:p>
            <w:pPr>
              <w:pStyle w:val="TableContents"/>
              <w:bidi w:val="0"/>
              <w:spacing w:before="0" w:after="283"/>
              <w:jc w:val="center"/>
              <w:rPr>
                <w:b/>
              </w:rPr>
            </w:pPr>
            <w:r>
              <w:rPr>
                <w:b/>
              </w:rPr>
              <w:t>March 28,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868" w:type="dxa"/>
            <w:tcBorders>
              <w:bottom w:val="single" w:sz="6" w:space="0" w:color="000000"/>
            </w:tcBorders>
            <w:tcMar>
              <w:bottom w:w="28" w:type="dxa"/>
            </w:tcMar>
            <w:vAlign w:val="center"/>
          </w:tcPr>
          <w:p>
            <w:pPr>
              <w:pStyle w:val="TableContents"/>
              <w:bidi w:val="0"/>
              <w:spacing w:before="0" w:after="283"/>
              <w:jc w:val="center"/>
              <w:rPr/>
            </w:pPr>
            <w:r>
              <w:rPr/>
              <w:t>September 27, 2025</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center"/>
              <w:rPr/>
            </w:pPr>
            <w:r>
              <w:rPr/>
              <w:t>(Unaudited)</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589" w:type="dxa"/>
            <w:tcBorders/>
            <w:vAlign w:val="center"/>
          </w:tcPr>
          <w:p>
            <w:pPr>
              <w:pStyle w:val="TableContents"/>
              <w:bidi w:val="0"/>
              <w:spacing w:before="0" w:after="283"/>
              <w:jc w:val="right"/>
              <w:rPr>
                <w:b/>
              </w:rPr>
            </w:pPr>
            <w:r>
              <w:rPr>
                <w:b/>
              </w:rPr>
              <w:t>303</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68" w:type="dxa"/>
            <w:tcBorders/>
            <w:vAlign w:val="center"/>
          </w:tcPr>
          <w:p>
            <w:pPr>
              <w:pStyle w:val="TableContents"/>
              <w:bidi w:val="0"/>
              <w:spacing w:before="0" w:after="283"/>
              <w:jc w:val="right"/>
              <w:rPr/>
            </w:pPr>
            <w:r>
              <w:rPr/>
              <w:t>305</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536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522</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Finished goods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297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303</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Raw materials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175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171</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89" w:type="dxa"/>
            <w:tcBorders>
              <w:bottom w:val="single" w:sz="2" w:space="0" w:color="000000"/>
            </w:tcBorders>
            <w:tcMar>
              <w:bottom w:w="28" w:type="dxa"/>
            </w:tcMar>
            <w:vAlign w:val="center"/>
          </w:tcPr>
          <w:p>
            <w:pPr>
              <w:pStyle w:val="TableContents"/>
              <w:bidi w:val="0"/>
              <w:spacing w:before="0" w:after="283"/>
              <w:jc w:val="right"/>
              <w:rPr>
                <w:b/>
              </w:rPr>
            </w:pPr>
            <w:r>
              <w:rPr>
                <w:b/>
              </w:rPr>
              <w:t>96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68" w:type="dxa"/>
            <w:tcBorders>
              <w:bottom w:val="single" w:sz="2" w:space="0" w:color="000000"/>
            </w:tcBorders>
            <w:tcMar>
              <w:bottom w:w="28" w:type="dxa"/>
            </w:tcMar>
            <w:vAlign w:val="center"/>
          </w:tcPr>
          <w:p>
            <w:pPr>
              <w:pStyle w:val="TableContents"/>
              <w:bidi w:val="0"/>
              <w:spacing w:before="0" w:after="283"/>
              <w:jc w:val="right"/>
              <w:rPr/>
            </w:pPr>
            <w:r>
              <w:rPr/>
              <w:t>122</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1,407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1,423</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Noncurrent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1,424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1,476</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Goodwill and intangible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870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890</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62</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89" w:type="dxa"/>
            <w:tcBorders>
              <w:bottom w:val="single" w:sz="2" w:space="0" w:color="000000"/>
            </w:tcBorders>
            <w:tcMar>
              <w:bottom w:w="28" w:type="dxa"/>
            </w:tcMar>
            <w:vAlign w:val="center"/>
          </w:tcPr>
          <w:p>
            <w:pPr>
              <w:pStyle w:val="TableContents"/>
              <w:bidi w:val="0"/>
              <w:spacing w:before="0" w:after="283"/>
              <w:jc w:val="right"/>
              <w:rPr>
                <w:b/>
              </w:rPr>
            </w:pPr>
            <w:r>
              <w:rPr>
                <w:b/>
              </w:rPr>
              <w:t>136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68" w:type="dxa"/>
            <w:tcBorders>
              <w:bottom w:val="single" w:sz="2" w:space="0" w:color="000000"/>
            </w:tcBorders>
            <w:tcMar>
              <w:bottom w:w="28" w:type="dxa"/>
            </w:tcMar>
            <w:vAlign w:val="center"/>
          </w:tcPr>
          <w:p>
            <w:pPr>
              <w:pStyle w:val="TableContents"/>
              <w:bidi w:val="0"/>
              <w:spacing w:before="0" w:after="283"/>
              <w:jc w:val="right"/>
              <w:rPr/>
            </w:pPr>
            <w:r>
              <w:rPr/>
              <w:t>138</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589" w:type="dxa"/>
            <w:tcBorders>
              <w:bottom w:val="double" w:sz="6" w:space="0" w:color="000000"/>
            </w:tcBorders>
            <w:tcMar>
              <w:bottom w:w="28" w:type="dxa"/>
            </w:tcMar>
            <w:vAlign w:val="center"/>
          </w:tcPr>
          <w:p>
            <w:pPr>
              <w:pStyle w:val="TableContents"/>
              <w:bidi w:val="0"/>
              <w:spacing w:before="0" w:after="283"/>
              <w:jc w:val="right"/>
              <w:rPr>
                <w:b/>
              </w:rPr>
            </w:pPr>
            <w:r>
              <w:rPr>
                <w:b/>
              </w:rPr>
              <w:t>3,896</w:t>
            </w:r>
          </w:p>
        </w:tc>
        <w:tc>
          <w:tcPr>
            <w:tcW w:w="185"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68" w:type="dxa"/>
            <w:tcBorders>
              <w:bottom w:val="double" w:sz="6" w:space="0" w:color="000000"/>
            </w:tcBorders>
            <w:tcMar>
              <w:bottom w:w="28" w:type="dxa"/>
            </w:tcMar>
            <w:vAlign w:val="center"/>
          </w:tcPr>
          <w:p>
            <w:pPr>
              <w:pStyle w:val="TableContents"/>
              <w:bidi w:val="0"/>
              <w:spacing w:before="0" w:after="283"/>
              <w:jc w:val="right"/>
              <w:rPr/>
            </w:pPr>
            <w:r>
              <w:rPr/>
              <w:t>3,989</w:t>
            </w:r>
          </w:p>
        </w:tc>
        <w:tc>
          <w:tcPr>
            <w:tcW w:w="231"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8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b/>
              </w:rPr>
            </w:pPr>
            <w:r>
              <w:rPr>
                <w:b/>
              </w:rPr>
              <w:t>Liabilities and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589" w:type="dxa"/>
            <w:tcBorders/>
            <w:vAlign w:val="center"/>
          </w:tcPr>
          <w:p>
            <w:pPr>
              <w:pStyle w:val="TableContents"/>
              <w:bidi w:val="0"/>
              <w:spacing w:before="0" w:after="283"/>
              <w:jc w:val="right"/>
              <w:rPr>
                <w:b/>
              </w:rPr>
            </w:pPr>
            <w:r>
              <w:rPr>
                <w:b/>
              </w:rPr>
              <w:t>369</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68" w:type="dxa"/>
            <w:tcBorders/>
            <w:vAlign w:val="center"/>
          </w:tcPr>
          <w:p>
            <w:pPr>
              <w:pStyle w:val="TableContents"/>
              <w:bidi w:val="0"/>
              <w:spacing w:before="0" w:after="283"/>
              <w:jc w:val="right"/>
              <w:rPr/>
            </w:pPr>
            <w:r>
              <w:rPr/>
              <w:t>356</w:t>
            </w:r>
          </w:p>
        </w:tc>
        <w:tc>
          <w:tcPr>
            <w:tcW w:w="231" w:type="dxa"/>
            <w:tcBorders/>
            <w:vAlign w:val="center"/>
          </w:tcPr>
          <w:p>
            <w:pPr>
              <w:pStyle w:val="TableContents"/>
              <w:bidi w:val="0"/>
              <w:spacing w:before="0" w:after="283"/>
              <w:jc w:val="left"/>
              <w:rPr>
                <w:sz w:val="4"/>
                <w:szCs w:val="4"/>
              </w:rPr>
            </w:pPr>
            <w:r>
              <w:rPr>
                <w:sz w:val="4"/>
                <w:szCs w:val="4"/>
              </w:rPr>
            </w:r>
          </w:p>
        </w:tc>
      </w:tr>
      <w:tr>
        <w:trPr/>
        <w:tc>
          <w:tcPr>
            <w:tcW w:w="5812" w:type="dxa"/>
            <w:tcBorders/>
            <w:vAlign w:val="center"/>
          </w:tcPr>
          <w:p>
            <w:pPr>
              <w:pStyle w:val="TableContents"/>
              <w:bidi w:val="0"/>
              <w:spacing w:before="0" w:after="283"/>
              <w:jc w:val="left"/>
              <w:rPr/>
            </w:pPr>
            <w:r>
              <w:rPr/>
              <w:t>Accrued employee costs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90</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Other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89" w:type="dxa"/>
            <w:tcBorders>
              <w:bottom w:val="single" w:sz="2" w:space="0" w:color="000000"/>
            </w:tcBorders>
            <w:tcMar>
              <w:bottom w:w="28" w:type="dxa"/>
            </w:tcMar>
            <w:vAlign w:val="center"/>
          </w:tcPr>
          <w:p>
            <w:pPr>
              <w:pStyle w:val="TableContents"/>
              <w:bidi w:val="0"/>
              <w:spacing w:before="0" w:after="283"/>
              <w:jc w:val="right"/>
              <w:rPr>
                <w:b/>
              </w:rPr>
            </w:pPr>
            <w:r>
              <w:rPr>
                <w:b/>
              </w:rPr>
              <w:t>155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68" w:type="dxa"/>
            <w:tcBorders>
              <w:bottom w:val="single" w:sz="2" w:space="0" w:color="000000"/>
            </w:tcBorders>
            <w:tcMar>
              <w:bottom w:w="28" w:type="dxa"/>
            </w:tcMar>
            <w:vAlign w:val="center"/>
          </w:tcPr>
          <w:p>
            <w:pPr>
              <w:pStyle w:val="TableContents"/>
              <w:bidi w:val="0"/>
              <w:spacing w:before="0" w:after="283"/>
              <w:jc w:val="right"/>
              <w:rPr/>
            </w:pPr>
            <w:r>
              <w:rPr/>
              <w:t>155</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605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601</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Noncurrent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Long-term 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1,899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1,952</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Deferred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52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46</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45</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Other long-term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89" w:type="dxa"/>
            <w:tcBorders>
              <w:bottom w:val="single" w:sz="2" w:space="0" w:color="000000"/>
            </w:tcBorders>
            <w:tcMar>
              <w:bottom w:w="28" w:type="dxa"/>
            </w:tcMar>
            <w:vAlign w:val="center"/>
          </w:tcPr>
          <w:p>
            <w:pPr>
              <w:pStyle w:val="TableContents"/>
              <w:bidi w:val="0"/>
              <w:spacing w:before="0" w:after="283"/>
              <w:jc w:val="right"/>
              <w:rPr>
                <w:b/>
              </w:rPr>
            </w:pPr>
            <w:r>
              <w:rPr>
                <w:b/>
              </w:rPr>
              <w:t>258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68" w:type="dxa"/>
            <w:tcBorders>
              <w:bottom w:val="single" w:sz="2" w:space="0" w:color="000000"/>
            </w:tcBorders>
            <w:tcMar>
              <w:bottom w:w="28" w:type="dxa"/>
            </w:tcMar>
            <w:vAlign w:val="center"/>
          </w:tcPr>
          <w:p>
            <w:pPr>
              <w:pStyle w:val="TableContents"/>
              <w:bidi w:val="0"/>
              <w:spacing w:before="0" w:after="283"/>
              <w:jc w:val="right"/>
              <w:rPr/>
            </w:pPr>
            <w:r>
              <w:rPr/>
              <w:t>281</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2,857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2,925</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Common stock (35.8 and 35.6 million shares issued,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1</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1,426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1,417</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Retained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89" w:type="dxa"/>
            <w:tcBorders/>
            <w:vAlign w:val="center"/>
          </w:tcPr>
          <w:p>
            <w:pPr>
              <w:pStyle w:val="TableContents"/>
              <w:bidi w:val="0"/>
              <w:spacing w:before="0" w:after="283"/>
              <w:jc w:val="right"/>
              <w:rPr>
                <w:b/>
              </w:rPr>
            </w:pPr>
            <w:r>
              <w:rPr>
                <w:b/>
              </w:rPr>
              <w:t>(211</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68" w:type="dxa"/>
            <w:tcBorders/>
            <w:vAlign w:val="center"/>
          </w:tcPr>
          <w:p>
            <w:pPr>
              <w:pStyle w:val="TableContents"/>
              <w:bidi w:val="0"/>
              <w:spacing w:before="0" w:after="283"/>
              <w:jc w:val="right"/>
              <w:rPr/>
            </w:pPr>
            <w:r>
              <w:rPr/>
              <w:t>(159</w:t>
            </w:r>
          </w:p>
        </w:tc>
        <w:tc>
          <w:tcPr>
            <w:tcW w:w="231" w:type="dxa"/>
            <w:tcBorders/>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Accumulated other comprehensive loss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89" w:type="dxa"/>
            <w:tcBorders>
              <w:bottom w:val="single" w:sz="2" w:space="0" w:color="000000"/>
            </w:tcBorders>
            <w:tcMar>
              <w:bottom w:w="28" w:type="dxa"/>
            </w:tcMar>
            <w:vAlign w:val="center"/>
          </w:tcPr>
          <w:p>
            <w:pPr>
              <w:pStyle w:val="TableContents"/>
              <w:bidi w:val="0"/>
              <w:spacing w:before="0" w:after="283"/>
              <w:jc w:val="right"/>
              <w:rPr>
                <w:b/>
              </w:rPr>
            </w:pPr>
            <w:r>
              <w:rPr>
                <w:b/>
              </w:rPr>
              <w:t>(177</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68" w:type="dxa"/>
            <w:tcBorders>
              <w:bottom w:val="single" w:sz="2" w:space="0" w:color="000000"/>
            </w:tcBorders>
            <w:tcMar>
              <w:bottom w:w="28" w:type="dxa"/>
            </w:tcMar>
            <w:vAlign w:val="center"/>
          </w:tcPr>
          <w:p>
            <w:pPr>
              <w:pStyle w:val="TableContents"/>
              <w:bidi w:val="0"/>
              <w:spacing w:before="0" w:after="283"/>
              <w:jc w:val="right"/>
              <w:rPr/>
            </w:pPr>
            <w:r>
              <w:rPr/>
              <w:t>(195</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Total equity</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89" w:type="dxa"/>
            <w:tcBorders>
              <w:bottom w:val="single" w:sz="2" w:space="0" w:color="000000"/>
            </w:tcBorders>
            <w:tcMar>
              <w:bottom w:w="28" w:type="dxa"/>
            </w:tcMar>
            <w:vAlign w:val="center"/>
          </w:tcPr>
          <w:p>
            <w:pPr>
              <w:pStyle w:val="TableContents"/>
              <w:bidi w:val="0"/>
              <w:spacing w:before="0" w:after="283"/>
              <w:jc w:val="right"/>
              <w:rPr>
                <w:b/>
              </w:rPr>
            </w:pPr>
            <w:r>
              <w:rPr>
                <w:b/>
              </w:rPr>
              <w:t>1,039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68" w:type="dxa"/>
            <w:tcBorders>
              <w:bottom w:val="single" w:sz="2" w:space="0" w:color="000000"/>
            </w:tcBorders>
            <w:tcMar>
              <w:bottom w:w="28" w:type="dxa"/>
            </w:tcMar>
            <w:vAlign w:val="center"/>
          </w:tcPr>
          <w:p>
            <w:pPr>
              <w:pStyle w:val="TableContents"/>
              <w:bidi w:val="0"/>
              <w:spacing w:before="0" w:after="283"/>
              <w:jc w:val="right"/>
              <w:rPr/>
            </w:pPr>
            <w:r>
              <w:rPr/>
              <w:t>1,064</w:t>
            </w:r>
          </w:p>
        </w:tc>
        <w:tc>
          <w:tcPr>
            <w:tcW w:w="23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812" w:type="dxa"/>
            <w:tcBorders/>
            <w:vAlign w:val="center"/>
          </w:tcPr>
          <w:p>
            <w:pPr>
              <w:pStyle w:val="TableContents"/>
              <w:bidi w:val="0"/>
              <w:spacing w:before="0" w:after="283"/>
              <w:jc w:val="left"/>
              <w:rPr/>
            </w:pPr>
            <w:r>
              <w:rPr/>
              <w:t>Total liabilities and equity</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589" w:type="dxa"/>
            <w:tcBorders>
              <w:bottom w:val="double" w:sz="6" w:space="0" w:color="000000"/>
            </w:tcBorders>
            <w:tcMar>
              <w:bottom w:w="28" w:type="dxa"/>
            </w:tcMar>
            <w:vAlign w:val="center"/>
          </w:tcPr>
          <w:p>
            <w:pPr>
              <w:pStyle w:val="TableContents"/>
              <w:bidi w:val="0"/>
              <w:spacing w:before="0" w:after="283"/>
              <w:jc w:val="right"/>
              <w:rPr>
                <w:b/>
              </w:rPr>
            </w:pPr>
            <w:r>
              <w:rPr>
                <w:b/>
              </w:rPr>
              <w:t>3,896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68" w:type="dxa"/>
            <w:tcBorders>
              <w:bottom w:val="double" w:sz="6" w:space="0" w:color="000000"/>
            </w:tcBorders>
            <w:tcMar>
              <w:bottom w:w="28" w:type="dxa"/>
            </w:tcMar>
            <w:vAlign w:val="center"/>
          </w:tcPr>
          <w:p>
            <w:pPr>
              <w:pStyle w:val="TableContents"/>
              <w:bidi w:val="0"/>
              <w:spacing w:before="0" w:after="283"/>
              <w:jc w:val="right"/>
              <w:rPr/>
            </w:pPr>
            <w:r>
              <w:rPr/>
              <w:t>3,989</w:t>
            </w:r>
          </w:p>
        </w:tc>
        <w:tc>
          <w:tcPr>
            <w:tcW w:w="231"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18"/>
        </w:rPr>
      </w:pPr>
      <w:r>
        <w:rPr>
          <w:rFonts w:ascii="Times New Roman" w:hAnsi="Times New Roman"/>
          <w:i/>
          <w:spacing w:val="0"/>
          <w:sz w:val="20"/>
        </w:rPr>
        <w:t>See notes to Condensed Consolidated and Combined Financial Statements.</w:t>
      </w:r>
      <w:r>
        <w:rPr>
          <w:rFonts w:ascii="Times New Roman" w:hAnsi="Times New Roman"/>
          <w:sz w:val="18"/>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36" w:before="0" w:after="0"/>
        <w:jc w:val="center"/>
        <w:rPr>
          <w:rFonts w:ascii="Times New Roman" w:hAnsi="Times New Roman"/>
          <w:sz w:val="18"/>
        </w:rPr>
      </w:pPr>
      <w:bookmarkStart w:id="6" w:name="Section8"/>
      <w:bookmarkEnd w:id="6"/>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36" w:before="0" w:after="0"/>
        <w:jc w:val="center"/>
        <w:rPr>
          <w:rFonts w:ascii="Times New Roman" w:hAnsi="Times New Roman"/>
          <w:sz w:val="18"/>
        </w:rPr>
      </w:pPr>
      <w:r>
        <w:rPr>
          <w:rFonts w:ascii="Times New Roman" w:hAnsi="Times New Roman"/>
          <w:b/>
          <w:sz w:val="20"/>
        </w:rPr>
        <w:t>Condensed Consolidated and Combined Statements of Cash Flows</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before="0" w:after="0"/>
        <w:jc w:val="center"/>
        <w:rPr/>
      </w:pPr>
      <w:r>
        <w:rPr/>
        <w:t> </w:t>
      </w:r>
    </w:p>
    <w:tbl>
      <w:tblPr>
        <w:tblW w:w="9845" w:type="dxa"/>
        <w:jc w:val="left"/>
        <w:tblInd w:w="0" w:type="dxa"/>
        <w:tblLayout w:type="fixed"/>
        <w:tblCellMar>
          <w:top w:w="0" w:type="dxa"/>
          <w:left w:w="0" w:type="dxa"/>
          <w:bottom w:w="0" w:type="dxa"/>
          <w:right w:w="0" w:type="dxa"/>
        </w:tblCellMar>
      </w:tblPr>
      <w:tblGrid>
        <w:gridCol w:w="5630"/>
        <w:gridCol w:w="90"/>
        <w:gridCol w:w="170"/>
        <w:gridCol w:w="1640"/>
        <w:gridCol w:w="185"/>
        <w:gridCol w:w="90"/>
        <w:gridCol w:w="170"/>
        <w:gridCol w:w="1640"/>
        <w:gridCol w:w="230"/>
      </w:tblGrid>
      <w:tr>
        <w:trPr/>
        <w:tc>
          <w:tcPr>
            <w:tcW w:w="56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2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Two Quarterly Periods Ended</w:t>
            </w:r>
          </w:p>
        </w:tc>
      </w:tr>
      <w:tr>
        <w:trPr/>
        <w:tc>
          <w:tcPr>
            <w:tcW w:w="5630" w:type="dxa"/>
            <w:tcBorders/>
            <w:vAlign w:val="center"/>
          </w:tcPr>
          <w:p>
            <w:pPr>
              <w:pStyle w:val="TableContents"/>
              <w:bidi w:val="0"/>
              <w:spacing w:before="0" w:after="283"/>
              <w:jc w:val="left"/>
              <w:rPr>
                <w:sz w:val="16"/>
              </w:rPr>
            </w:pPr>
            <w:r>
              <w:rPr>
                <w:sz w:val="16"/>
              </w:rPr>
              <w:t>(in millions of dollars)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center"/>
              <w:rPr>
                <w:b/>
              </w:rPr>
            </w:pPr>
            <w:r>
              <w:rPr>
                <w:b/>
              </w:rPr>
              <w:t>March 28, 2026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center"/>
              <w:rPr>
                <w:b/>
              </w:rPr>
            </w:pPr>
            <w:r>
              <w:rPr>
                <w:b/>
              </w:rPr>
              <w:t>March 29, 2025</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640" w:type="dxa"/>
            <w:tcBorders/>
            <w:vAlign w:val="center"/>
          </w:tcPr>
          <w:p>
            <w:pPr>
              <w:pStyle w:val="TableContents"/>
              <w:bidi w:val="0"/>
              <w:spacing w:before="0" w:after="283"/>
              <w:jc w:val="right"/>
              <w:rPr>
                <w:b/>
              </w:rPr>
            </w:pPr>
            <w:r>
              <w:rPr>
                <w:b/>
              </w:rPr>
              <w:t>(52</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right"/>
              <w:rPr/>
            </w:pPr>
            <w:r>
              <w:rPr/>
              <w:t>(101</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Adjustments to reconcile net cash from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Depreciation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77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83</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Amortization of intangibles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28</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Non-cash 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8</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Deferred income tax</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10</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Share-based compensation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10</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Other non-cash operating activities,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37</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Changes in working capital,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(78</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Changes in other assets and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b/>
              </w:rPr>
            </w:pPr>
            <w:r>
              <w:rPr>
                <w:b/>
              </w:rPr>
              <w:t>(10</w:t>
            </w:r>
          </w:p>
        </w:tc>
        <w:tc>
          <w:tcPr>
            <w:tcW w:w="185" w:type="dxa"/>
            <w:tcBorders>
              <w:bottom w:val="single" w:sz="2"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10</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cash from (used in) operating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7</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b/>
              </w:rPr>
            </w:pPr>
            <w:r>
              <w:rPr>
                <w:b/>
              </w:rPr>
              <w:t>Cash Flows from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Additions to 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(29</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(39</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Cash acquired from merger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37</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Settlement of net investment hedges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22</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cash from (used in) investing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(29</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20</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b/>
              </w:rPr>
            </w:pPr>
            <w:r>
              <w:rPr>
                <w:b/>
              </w:rPr>
              <w:t>Cash Flows from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Proceeds from long-term borrowings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1,556</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Repayments on long-term borrowings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(63</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(432</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Transfers from (to) parent,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34</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Cash distributions to parent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(1,111</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Debt fees and other, net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(15</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cash from (used in) financing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(63</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32</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Effect of currency translation on cash</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b/>
              </w:rPr>
            </w:pPr>
            <w:r>
              <w:rPr>
                <w:b/>
              </w:rPr>
              <w:t>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(7</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change in 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(2</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52</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Cash and cash equivalents at beginning of period</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b/>
              </w:rPr>
            </w:pPr>
            <w:r>
              <w:rPr>
                <w:b/>
              </w:rPr>
              <w:t>305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230</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Cash and cash equivalents at the end of period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640" w:type="dxa"/>
            <w:tcBorders>
              <w:bottom w:val="double" w:sz="6" w:space="0" w:color="000000"/>
            </w:tcBorders>
            <w:tcMar>
              <w:bottom w:w="28" w:type="dxa"/>
            </w:tcMar>
            <w:vAlign w:val="center"/>
          </w:tcPr>
          <w:p>
            <w:pPr>
              <w:pStyle w:val="TableContents"/>
              <w:bidi w:val="0"/>
              <w:spacing w:before="0" w:after="283"/>
              <w:jc w:val="right"/>
              <w:rPr>
                <w:b/>
              </w:rPr>
            </w:pPr>
            <w:r>
              <w:rPr>
                <w:b/>
              </w:rPr>
              <w:t>303</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tcMar>
              <w:bottom w:w="28" w:type="dxa"/>
            </w:tcMar>
            <w:vAlign w:val="center"/>
          </w:tcPr>
          <w:p>
            <w:pPr>
              <w:pStyle w:val="TableContents"/>
              <w:bidi w:val="0"/>
              <w:spacing w:before="0" w:after="283"/>
              <w:jc w:val="right"/>
              <w:rPr/>
            </w:pPr>
            <w:r>
              <w:rPr/>
              <w:t>282</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18"/>
        </w:rPr>
      </w:pPr>
      <w:r>
        <w:rPr>
          <w:rFonts w:ascii="Times New Roman" w:hAnsi="Times New Roman"/>
          <w:i/>
          <w:spacing w:val="0"/>
          <w:sz w:val="20"/>
        </w:rPr>
        <w:t>See notes to Condensed Consolidated and Combined Financial Statements.</w:t>
      </w:r>
      <w:r>
        <w:rPr>
          <w:rFonts w:ascii="Times New Roman" w:hAnsi="Times New Roman"/>
          <w:sz w:val="18"/>
        </w:rPr>
        <w:t xml:space="preserve">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6</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36" w:before="0" w:after="0"/>
        <w:jc w:val="center"/>
        <w:rPr>
          <w:rFonts w:ascii="Times New Roman" w:hAnsi="Times New Roman"/>
          <w:sz w:val="18"/>
        </w:rPr>
      </w:pPr>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36" w:before="0" w:after="0"/>
        <w:jc w:val="center"/>
        <w:rPr>
          <w:rFonts w:ascii="Times New Roman" w:hAnsi="Times New Roman"/>
          <w:sz w:val="18"/>
        </w:rPr>
      </w:pPr>
      <w:bookmarkStart w:id="7" w:name="Section9"/>
      <w:bookmarkEnd w:id="7"/>
      <w:r>
        <w:rPr>
          <w:rFonts w:ascii="Times New Roman" w:hAnsi="Times New Roman"/>
          <w:b/>
          <w:sz w:val="20"/>
        </w:rPr>
        <w:t>Consolidated and Combined Statements of Changes in Equity</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lineRule="auto" w:line="324" w:before="0" w:after="0"/>
        <w:jc w:val="left"/>
        <w:rPr/>
      </w:pPr>
      <w:r>
        <w:rPr/>
        <w:t> </w:t>
      </w:r>
    </w:p>
    <w:tbl>
      <w:tblPr>
        <w:tblW w:w="10565" w:type="dxa"/>
        <w:jc w:val="left"/>
        <w:tblInd w:w="0" w:type="dxa"/>
        <w:tblLayout w:type="fixed"/>
        <w:tblCellMar>
          <w:top w:w="0" w:type="dxa"/>
          <w:left w:w="0" w:type="dxa"/>
          <w:bottom w:w="0" w:type="dxa"/>
          <w:right w:w="0" w:type="dxa"/>
        </w:tblCellMar>
      </w:tblPr>
      <w:tblGrid>
        <w:gridCol w:w="1490"/>
        <w:gridCol w:w="90"/>
        <w:gridCol w:w="170"/>
        <w:gridCol w:w="995"/>
        <w:gridCol w:w="90"/>
        <w:gridCol w:w="90"/>
        <w:gridCol w:w="170"/>
        <w:gridCol w:w="1175"/>
        <w:gridCol w:w="90"/>
        <w:gridCol w:w="90"/>
        <w:gridCol w:w="170"/>
        <w:gridCol w:w="1130"/>
        <w:gridCol w:w="90"/>
        <w:gridCol w:w="90"/>
        <w:gridCol w:w="170"/>
        <w:gridCol w:w="1640"/>
        <w:gridCol w:w="185"/>
        <w:gridCol w:w="90"/>
        <w:gridCol w:w="170"/>
        <w:gridCol w:w="965"/>
        <w:gridCol w:w="185"/>
        <w:gridCol w:w="90"/>
        <w:gridCol w:w="170"/>
        <w:gridCol w:w="740"/>
        <w:gridCol w:w="230"/>
      </w:tblGrid>
      <w:tr>
        <w:trPr/>
        <w:tc>
          <w:tcPr>
            <w:tcW w:w="14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b/>
              </w:rPr>
            </w:pPr>
            <w:r>
              <w:rPr>
                <w:b/>
              </w:rPr>
              <w:t>Accumulated Other</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b/>
              </w:rPr>
            </w:pPr>
            <w:r>
              <w:rPr>
                <w:b/>
              </w:rPr>
              <w:t>Quarterly Period Ended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Common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b/>
              </w:rPr>
            </w:pPr>
            <w:r>
              <w:rPr>
                <w:b/>
              </w:rPr>
              <w:t>Berry 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b/>
              </w:rPr>
            </w:pPr>
            <w:r>
              <w:rPr>
                <w:b/>
              </w:rPr>
              <w:t>Comprehensive Loss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b/>
              </w:rPr>
            </w:pPr>
            <w:r>
              <w:rPr>
                <w:b/>
              </w:rPr>
              <w:t>Retained</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b/>
              </w:rPr>
            </w:pPr>
            <w:r>
              <w:rPr>
                <w:b/>
              </w:rPr>
              <w:t>Total</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(in millions of dollars)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Stock</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b/>
              </w:rPr>
            </w:pPr>
            <w:r>
              <w:rPr>
                <w:b/>
              </w:rPr>
              <w:t>Investment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center"/>
              <w:rPr>
                <w:b/>
              </w:rPr>
            </w:pPr>
            <w:r>
              <w:rPr>
                <w:b/>
              </w:rPr>
              <w:t>Paid-in Capital</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Currency Translation</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b/>
              </w:rPr>
            </w:pPr>
            <w:r>
              <w:rPr>
                <w:b/>
              </w:rPr>
              <w:t>Loss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center"/>
              <w:rPr>
                <w:b/>
              </w:rPr>
            </w:pPr>
            <w:r>
              <w:rPr>
                <w:b/>
              </w:rPr>
              <w:t>Equity</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Balance at December 27,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95" w:type="dxa"/>
            <w:tcBorders/>
            <w:vAlign w:val="center"/>
          </w:tcPr>
          <w:p>
            <w:pPr>
              <w:pStyle w:val="TableContents"/>
              <w:bidi w:val="0"/>
              <w:spacing w:before="0" w:after="283"/>
              <w:jc w:val="right"/>
              <w:rPr>
                <w:b/>
              </w:rPr>
            </w:pPr>
            <w:r>
              <w:rPr>
                <w:b/>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1,422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640" w:type="dxa"/>
            <w:tcBorders/>
            <w:vAlign w:val="center"/>
          </w:tcPr>
          <w:p>
            <w:pPr>
              <w:pStyle w:val="TableContents"/>
              <w:bidi w:val="0"/>
              <w:spacing w:before="0" w:after="283"/>
              <w:jc w:val="right"/>
              <w:rPr>
                <w:b/>
              </w:rPr>
            </w:pPr>
            <w:r>
              <w:rPr>
                <w:b/>
              </w:rPr>
              <w:t>(192</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65" w:type="dxa"/>
            <w:tcBorders/>
            <w:vAlign w:val="center"/>
          </w:tcPr>
          <w:p>
            <w:pPr>
              <w:pStyle w:val="TableContents"/>
              <w:bidi w:val="0"/>
              <w:spacing w:before="0" w:after="283"/>
              <w:jc w:val="right"/>
              <w:rPr>
                <w:b/>
              </w:rPr>
            </w:pPr>
            <w:r>
              <w:rPr>
                <w:b/>
              </w:rPr>
              <w:t>(193</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40" w:type="dxa"/>
            <w:tcBorders/>
            <w:vAlign w:val="center"/>
          </w:tcPr>
          <w:p>
            <w:pPr>
              <w:pStyle w:val="TableContents"/>
              <w:bidi w:val="0"/>
              <w:spacing w:before="0" w:after="283"/>
              <w:jc w:val="right"/>
              <w:rPr>
                <w:b/>
              </w:rPr>
            </w:pPr>
            <w:r>
              <w:rPr>
                <w:b/>
              </w:rPr>
              <w:t>1,038</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b/>
              </w:rPr>
            </w:pPr>
            <w:r>
              <w:rPr>
                <w:b/>
              </w:rPr>
              <w:t>(18</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(18</w:t>
            </w:r>
          </w:p>
        </w:tc>
        <w:tc>
          <w:tcPr>
            <w:tcW w:w="230" w:type="dxa"/>
            <w:tcBorders/>
            <w:vAlign w:val="center"/>
          </w:tcPr>
          <w:p>
            <w:pPr>
              <w:pStyle w:val="TableContents"/>
              <w:bidi w:val="0"/>
              <w:spacing w:before="0" w:after="283"/>
              <w:jc w:val="left"/>
              <w:rPr>
                <w:b/>
              </w:rPr>
            </w:pPr>
            <w:r>
              <w:rPr>
                <w:b/>
              </w:rPr>
              <w:t>) </w:t>
            </w:r>
          </w:p>
        </w:tc>
      </w:tr>
      <w:tr>
        <w:trPr/>
        <w:tc>
          <w:tcPr>
            <w:tcW w:w="1490" w:type="dxa"/>
            <w:tcBorders/>
            <w:vAlign w:val="center"/>
          </w:tcPr>
          <w:p>
            <w:pPr>
              <w:pStyle w:val="TableContents"/>
              <w:bidi w:val="0"/>
              <w:spacing w:before="0" w:after="283"/>
              <w:jc w:val="left"/>
              <w:rPr/>
            </w:pPr>
            <w:r>
              <w:rPr/>
              <w:t>Other comprehensive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15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15</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b/>
              </w:rPr>
            </w:pPr>
            <w:r>
              <w:rPr>
                <w:b/>
              </w:rPr>
              <w:t>4</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right"/>
              <w:rPr>
                <w:b/>
              </w:rPr>
            </w:pPr>
            <w:r>
              <w:rPr>
                <w:b/>
              </w:rPr>
              <w:t>4</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b/>
              </w:rPr>
            </w:pPr>
            <w:r>
              <w:rPr>
                <w:b/>
              </w:rPr>
              <w:t>Balance at March 28, 2026</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95" w:type="dxa"/>
            <w:tcBorders>
              <w:bottom w:val="double" w:sz="6" w:space="0" w:color="000000"/>
            </w:tcBorders>
            <w:tcMar>
              <w:bottom w:w="28" w:type="dxa"/>
            </w:tcMar>
            <w:vAlign w:val="center"/>
          </w:tcPr>
          <w:p>
            <w:pPr>
              <w:pStyle w:val="TableContents"/>
              <w:bidi w:val="0"/>
              <w:spacing w:before="0" w:after="283"/>
              <w:jc w:val="right"/>
              <w:rPr>
                <w:b/>
              </w:rPr>
            </w:pPr>
            <w:r>
              <w:rPr>
                <w:b/>
              </w:rPr>
              <w:t>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6" w:space="0" w:color="000000"/>
            </w:tcBorders>
            <w:tcMar>
              <w:bottom w:w="28" w:type="dxa"/>
            </w:tcMar>
            <w:vAlign w:val="center"/>
          </w:tcPr>
          <w:p>
            <w:pPr>
              <w:pStyle w:val="TableContents"/>
              <w:bidi w:val="0"/>
              <w:spacing w:before="0" w:after="283"/>
              <w:jc w:val="right"/>
              <w:rPr>
                <w:b/>
              </w:rPr>
            </w:pPr>
            <w:r>
              <w:rPr>
                <w:b/>
              </w:rPr>
              <w:t>1,426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640" w:type="dxa"/>
            <w:tcBorders>
              <w:bottom w:val="double" w:sz="6" w:space="0" w:color="000000"/>
            </w:tcBorders>
            <w:tcMar>
              <w:bottom w:w="28" w:type="dxa"/>
            </w:tcMar>
            <w:vAlign w:val="center"/>
          </w:tcPr>
          <w:p>
            <w:pPr>
              <w:pStyle w:val="TableContents"/>
              <w:bidi w:val="0"/>
              <w:spacing w:before="0" w:after="283"/>
              <w:jc w:val="right"/>
              <w:rPr>
                <w:b/>
              </w:rPr>
            </w:pPr>
            <w:r>
              <w:rPr>
                <w:b/>
              </w:rPr>
              <w:t>(177</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65" w:type="dxa"/>
            <w:tcBorders>
              <w:bottom w:val="double" w:sz="6" w:space="0" w:color="000000"/>
            </w:tcBorders>
            <w:tcMar>
              <w:bottom w:w="28" w:type="dxa"/>
            </w:tcMar>
            <w:vAlign w:val="center"/>
          </w:tcPr>
          <w:p>
            <w:pPr>
              <w:pStyle w:val="TableContents"/>
              <w:bidi w:val="0"/>
              <w:spacing w:before="0" w:after="283"/>
              <w:jc w:val="right"/>
              <w:rPr>
                <w:b/>
              </w:rPr>
            </w:pPr>
            <w:r>
              <w:rPr>
                <w:b/>
              </w:rPr>
              <w:t>(211</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40" w:type="dxa"/>
            <w:tcBorders>
              <w:bottom w:val="double" w:sz="6" w:space="0" w:color="000000"/>
            </w:tcBorders>
            <w:tcMar>
              <w:bottom w:w="28" w:type="dxa"/>
            </w:tcMar>
            <w:vAlign w:val="center"/>
          </w:tcPr>
          <w:p>
            <w:pPr>
              <w:pStyle w:val="TableContents"/>
              <w:bidi w:val="0"/>
              <w:spacing w:before="0" w:after="283"/>
              <w:jc w:val="right"/>
              <w:rPr>
                <w:b/>
              </w:rPr>
            </w:pPr>
            <w:r>
              <w:rPr>
                <w:b/>
              </w:rPr>
              <w:t>1,039</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w:t>
      </w:r>
    </w:p>
    <w:tbl>
      <w:tblPr>
        <w:tblW w:w="8245" w:type="dxa"/>
        <w:jc w:val="left"/>
        <w:tblInd w:w="0" w:type="dxa"/>
        <w:tblLayout w:type="fixed"/>
        <w:tblCellMar>
          <w:top w:w="0" w:type="dxa"/>
          <w:left w:w="0" w:type="dxa"/>
          <w:bottom w:w="0" w:type="dxa"/>
          <w:right w:w="0" w:type="dxa"/>
        </w:tblCellMar>
      </w:tblPr>
      <w:tblGrid>
        <w:gridCol w:w="2990"/>
        <w:gridCol w:w="90"/>
        <w:gridCol w:w="170"/>
        <w:gridCol w:w="290"/>
        <w:gridCol w:w="90"/>
        <w:gridCol w:w="90"/>
        <w:gridCol w:w="170"/>
        <w:gridCol w:w="290"/>
        <w:gridCol w:w="90"/>
        <w:gridCol w:w="90"/>
        <w:gridCol w:w="170"/>
        <w:gridCol w:w="590"/>
        <w:gridCol w:w="185"/>
        <w:gridCol w:w="90"/>
        <w:gridCol w:w="170"/>
        <w:gridCol w:w="485"/>
        <w:gridCol w:w="185"/>
        <w:gridCol w:w="90"/>
        <w:gridCol w:w="170"/>
        <w:gridCol w:w="485"/>
        <w:gridCol w:w="185"/>
        <w:gridCol w:w="90"/>
        <w:gridCol w:w="170"/>
        <w:gridCol w:w="590"/>
        <w:gridCol w:w="230"/>
      </w:tblGrid>
      <w:tr>
        <w:trPr/>
        <w:tc>
          <w:tcPr>
            <w:tcW w:w="29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283"/>
              <w:jc w:val="left"/>
              <w:rPr/>
            </w:pPr>
            <w:r>
              <w:rPr/>
              <w:t>Balance at December 28, 2024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0"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1,404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 w:type="dxa"/>
            <w:tcBorders/>
            <w:vAlign w:val="center"/>
          </w:tcPr>
          <w:p>
            <w:pPr>
              <w:pStyle w:val="TableContents"/>
              <w:bidi w:val="0"/>
              <w:spacing w:before="0" w:after="283"/>
              <w:jc w:val="right"/>
              <w:rPr/>
            </w:pPr>
            <w:r>
              <w:rPr/>
              <w:t>(239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 w:type="dxa"/>
            <w:tcBorders/>
            <w:vAlign w:val="center"/>
          </w:tcPr>
          <w:p>
            <w:pPr>
              <w:pStyle w:val="TableContents"/>
              <w:bidi w:val="0"/>
              <w:spacing w:before="0" w:after="283"/>
              <w:jc w:val="right"/>
              <w:rPr/>
            </w:pPr>
            <w:r>
              <w:rPr/>
              <w:t>(60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1,106</w:t>
            </w:r>
          </w:p>
        </w:tc>
        <w:tc>
          <w:tcPr>
            <w:tcW w:w="23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(41</w:t>
            </w:r>
          </w:p>
        </w:tc>
        <w:tc>
          <w:tcPr>
            <w:tcW w:w="23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Other comprehensive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25</w:t>
            </w:r>
          </w:p>
        </w:tc>
        <w:tc>
          <w:tcPr>
            <w:tcW w:w="23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4</w:t>
            </w:r>
          </w:p>
        </w:tc>
        <w:tc>
          <w:tcPr>
            <w:tcW w:w="230" w:type="dxa"/>
            <w:tcBorders/>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290"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290"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(1</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485"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485"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(1</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Balance at March 29, 2025</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290" w:type="dxa"/>
            <w:tcBorders>
              <w:bottom w:val="double" w:sz="6" w:space="0" w:color="000000"/>
            </w:tcBorders>
            <w:tcMar>
              <w:bottom w:w="28" w:type="dxa"/>
            </w:tcMar>
            <w:vAlign w:val="center"/>
          </w:tcPr>
          <w:p>
            <w:pPr>
              <w:pStyle w:val="TableContents"/>
              <w:bidi w:val="0"/>
              <w:spacing w:before="0" w:after="283"/>
              <w:jc w:val="right"/>
              <w:rPr/>
            </w:pPr>
            <w:r>
              <w:rPr/>
              <w:t>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290"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1,407</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tcMar>
              <w:bottom w:w="28" w:type="dxa"/>
            </w:tcMar>
            <w:vAlign w:val="center"/>
          </w:tcPr>
          <w:p>
            <w:pPr>
              <w:pStyle w:val="TableContents"/>
              <w:bidi w:val="0"/>
              <w:spacing w:before="0" w:after="283"/>
              <w:jc w:val="right"/>
              <w:rPr/>
            </w:pPr>
            <w:r>
              <w:rPr/>
              <w:t>(214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tcMar>
              <w:bottom w:w="28" w:type="dxa"/>
            </w:tcMar>
            <w:vAlign w:val="center"/>
          </w:tcPr>
          <w:p>
            <w:pPr>
              <w:pStyle w:val="TableContents"/>
              <w:bidi w:val="0"/>
              <w:spacing w:before="0" w:after="283"/>
              <w:jc w:val="right"/>
              <w:rPr/>
            </w:pPr>
            <w:r>
              <w:rPr/>
              <w:t>(101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1,093</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w:t>
      </w:r>
    </w:p>
    <w:p>
      <w:pPr>
        <w:pStyle w:val="TextBody"/>
        <w:bidi w:val="0"/>
        <w:spacing w:lineRule="auto" w:line="324" w:before="0" w:after="0"/>
        <w:jc w:val="left"/>
        <w:rPr/>
      </w:pPr>
      <w:r>
        <w:rPr/>
        <w:t> </w:t>
      </w:r>
    </w:p>
    <w:tbl>
      <w:tblPr>
        <w:tblW w:w="10565" w:type="dxa"/>
        <w:jc w:val="left"/>
        <w:tblInd w:w="0" w:type="dxa"/>
        <w:tblLayout w:type="fixed"/>
        <w:tblCellMar>
          <w:top w:w="0" w:type="dxa"/>
          <w:left w:w="0" w:type="dxa"/>
          <w:bottom w:w="0" w:type="dxa"/>
          <w:right w:w="0" w:type="dxa"/>
        </w:tblCellMar>
      </w:tblPr>
      <w:tblGrid>
        <w:gridCol w:w="1490"/>
        <w:gridCol w:w="90"/>
        <w:gridCol w:w="170"/>
        <w:gridCol w:w="995"/>
        <w:gridCol w:w="90"/>
        <w:gridCol w:w="90"/>
        <w:gridCol w:w="170"/>
        <w:gridCol w:w="1175"/>
        <w:gridCol w:w="90"/>
        <w:gridCol w:w="90"/>
        <w:gridCol w:w="170"/>
        <w:gridCol w:w="1130"/>
        <w:gridCol w:w="90"/>
        <w:gridCol w:w="90"/>
        <w:gridCol w:w="170"/>
        <w:gridCol w:w="1640"/>
        <w:gridCol w:w="185"/>
        <w:gridCol w:w="90"/>
        <w:gridCol w:w="170"/>
        <w:gridCol w:w="965"/>
        <w:gridCol w:w="185"/>
        <w:gridCol w:w="90"/>
        <w:gridCol w:w="170"/>
        <w:gridCol w:w="740"/>
        <w:gridCol w:w="230"/>
      </w:tblGrid>
      <w:tr>
        <w:trPr/>
        <w:tc>
          <w:tcPr>
            <w:tcW w:w="14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b/>
              </w:rPr>
            </w:pPr>
            <w:r>
              <w:rPr>
                <w:b/>
              </w:rPr>
              <w:t>Accumulated Other</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b/>
              </w:rPr>
            </w:pPr>
            <w:r>
              <w:rPr>
                <w:b/>
              </w:rPr>
              <w:t>Two Quarterly Periods Ended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Common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b/>
              </w:rPr>
            </w:pPr>
            <w:r>
              <w:rPr>
                <w:b/>
              </w:rPr>
              <w:t>Berry 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b/>
              </w:rPr>
            </w:pPr>
            <w:r>
              <w:rPr>
                <w:b/>
              </w:rPr>
              <w:t>Comprehensive Loss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center"/>
              <w:rPr>
                <w:b/>
              </w:rPr>
            </w:pPr>
            <w:r>
              <w:rPr>
                <w:b/>
              </w:rPr>
              <w:t>Retained</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b/>
              </w:rPr>
            </w:pPr>
            <w:r>
              <w:rPr>
                <w:b/>
              </w:rPr>
              <w:t>Total</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(in millions of dollars)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Stock</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5" w:type="dxa"/>
            <w:tcBorders>
              <w:bottom w:val="single" w:sz="6" w:space="0" w:color="000000"/>
            </w:tcBorders>
            <w:tcMar>
              <w:bottom w:w="28" w:type="dxa"/>
            </w:tcMar>
            <w:vAlign w:val="center"/>
          </w:tcPr>
          <w:p>
            <w:pPr>
              <w:pStyle w:val="TableContents"/>
              <w:bidi w:val="0"/>
              <w:spacing w:before="0" w:after="283"/>
              <w:jc w:val="center"/>
              <w:rPr>
                <w:b/>
              </w:rPr>
            </w:pPr>
            <w:r>
              <w:rPr>
                <w:b/>
              </w:rPr>
              <w:t>Investment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center"/>
              <w:rPr>
                <w:b/>
              </w:rPr>
            </w:pPr>
            <w:r>
              <w:rPr>
                <w:b/>
              </w:rPr>
              <w:t>Paid-in Capital</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Currency Translation</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b/>
              </w:rPr>
            </w:pPr>
            <w:r>
              <w:rPr>
                <w:b/>
              </w:rPr>
              <w:t>Loss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40" w:type="dxa"/>
            <w:tcBorders>
              <w:bottom w:val="single" w:sz="6" w:space="0" w:color="000000"/>
            </w:tcBorders>
            <w:tcMar>
              <w:bottom w:w="28" w:type="dxa"/>
            </w:tcMar>
            <w:vAlign w:val="center"/>
          </w:tcPr>
          <w:p>
            <w:pPr>
              <w:pStyle w:val="TableContents"/>
              <w:bidi w:val="0"/>
              <w:spacing w:before="0" w:after="283"/>
              <w:jc w:val="center"/>
              <w:rPr>
                <w:b/>
              </w:rPr>
            </w:pPr>
            <w:r>
              <w:rPr>
                <w:b/>
              </w:rPr>
              <w:t>Equity</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Balance at September 27,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95" w:type="dxa"/>
            <w:tcBorders/>
            <w:vAlign w:val="center"/>
          </w:tcPr>
          <w:p>
            <w:pPr>
              <w:pStyle w:val="TableContents"/>
              <w:bidi w:val="0"/>
              <w:spacing w:before="0" w:after="283"/>
              <w:jc w:val="right"/>
              <w:rPr>
                <w:b/>
              </w:rPr>
            </w:pPr>
            <w:r>
              <w:rPr>
                <w:b/>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30" w:type="dxa"/>
            <w:tcBorders/>
            <w:vAlign w:val="center"/>
          </w:tcPr>
          <w:p>
            <w:pPr>
              <w:pStyle w:val="TableContents"/>
              <w:bidi w:val="0"/>
              <w:spacing w:before="0" w:after="283"/>
              <w:jc w:val="right"/>
              <w:rPr>
                <w:b/>
              </w:rPr>
            </w:pPr>
            <w:r>
              <w:rPr>
                <w:b/>
              </w:rPr>
              <w:t>1,417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640" w:type="dxa"/>
            <w:tcBorders/>
            <w:vAlign w:val="center"/>
          </w:tcPr>
          <w:p>
            <w:pPr>
              <w:pStyle w:val="TableContents"/>
              <w:bidi w:val="0"/>
              <w:spacing w:before="0" w:after="283"/>
              <w:jc w:val="right"/>
              <w:rPr>
                <w:b/>
              </w:rPr>
            </w:pPr>
            <w:r>
              <w:rPr>
                <w:b/>
              </w:rPr>
              <w:t>(195</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65" w:type="dxa"/>
            <w:tcBorders/>
            <w:vAlign w:val="center"/>
          </w:tcPr>
          <w:p>
            <w:pPr>
              <w:pStyle w:val="TableContents"/>
              <w:bidi w:val="0"/>
              <w:spacing w:before="0" w:after="283"/>
              <w:jc w:val="right"/>
              <w:rPr>
                <w:b/>
              </w:rPr>
            </w:pPr>
            <w:r>
              <w:rPr>
                <w:b/>
              </w:rPr>
              <w:t>(159</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40" w:type="dxa"/>
            <w:tcBorders/>
            <w:vAlign w:val="center"/>
          </w:tcPr>
          <w:p>
            <w:pPr>
              <w:pStyle w:val="TableContents"/>
              <w:bidi w:val="0"/>
              <w:spacing w:before="0" w:after="283"/>
              <w:jc w:val="right"/>
              <w:rPr>
                <w:b/>
              </w:rPr>
            </w:pPr>
            <w:r>
              <w:rPr>
                <w:b/>
              </w:rPr>
              <w:t>1,064</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b/>
              </w:rPr>
            </w:pPr>
            <w:r>
              <w:rPr>
                <w:b/>
              </w:rPr>
              <w:t>(52</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(52</w:t>
            </w:r>
          </w:p>
        </w:tc>
        <w:tc>
          <w:tcPr>
            <w:tcW w:w="230" w:type="dxa"/>
            <w:tcBorders/>
            <w:vAlign w:val="center"/>
          </w:tcPr>
          <w:p>
            <w:pPr>
              <w:pStyle w:val="TableContents"/>
              <w:bidi w:val="0"/>
              <w:spacing w:before="0" w:after="283"/>
              <w:jc w:val="left"/>
              <w:rPr>
                <w:b/>
              </w:rPr>
            </w:pPr>
            <w:r>
              <w:rPr>
                <w:b/>
              </w:rPr>
              <w:t>) </w:t>
            </w:r>
          </w:p>
        </w:tc>
      </w:tr>
      <w:tr>
        <w:trPr/>
        <w:tc>
          <w:tcPr>
            <w:tcW w:w="1490" w:type="dxa"/>
            <w:tcBorders/>
            <w:vAlign w:val="center"/>
          </w:tcPr>
          <w:p>
            <w:pPr>
              <w:pStyle w:val="TableContents"/>
              <w:bidi w:val="0"/>
              <w:spacing w:before="0" w:after="283"/>
              <w:jc w:val="left"/>
              <w:rPr/>
            </w:pPr>
            <w:r>
              <w:rPr/>
              <w:t>Other comprehensive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b/>
              </w:rPr>
            </w:pPr>
            <w:r>
              <w:rPr>
                <w:b/>
              </w:rPr>
              <w:t>18</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75"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b/>
              </w:rPr>
            </w:pPr>
            <w:r>
              <w:rPr>
                <w:b/>
              </w:rPr>
              <w:t>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65"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40" w:type="dxa"/>
            <w:tcBorders>
              <w:bottom w:val="single" w:sz="2" w:space="0" w:color="000000"/>
            </w:tcBorders>
            <w:tcMar>
              <w:bottom w:w="28" w:type="dxa"/>
            </w:tcMar>
            <w:vAlign w:val="center"/>
          </w:tcPr>
          <w:p>
            <w:pPr>
              <w:pStyle w:val="TableContents"/>
              <w:bidi w:val="0"/>
              <w:spacing w:before="0" w:after="283"/>
              <w:jc w:val="right"/>
              <w:rPr>
                <w:b/>
              </w:rPr>
            </w:pPr>
            <w:r>
              <w:rPr>
                <w:b/>
              </w:rPr>
              <w:t>9</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b/>
              </w:rPr>
            </w:pPr>
            <w:r>
              <w:rPr>
                <w:b/>
              </w:rPr>
              <w:t>Balance at March 28, 2026</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95" w:type="dxa"/>
            <w:tcBorders>
              <w:bottom w:val="double" w:sz="6" w:space="0" w:color="000000"/>
            </w:tcBorders>
            <w:tcMar>
              <w:bottom w:w="28" w:type="dxa"/>
            </w:tcMar>
            <w:vAlign w:val="center"/>
          </w:tcPr>
          <w:p>
            <w:pPr>
              <w:pStyle w:val="TableContents"/>
              <w:bidi w:val="0"/>
              <w:spacing w:before="0" w:after="283"/>
              <w:jc w:val="right"/>
              <w:rPr>
                <w:b/>
              </w:rPr>
            </w:pPr>
            <w:r>
              <w:rPr>
                <w:b/>
              </w:rPr>
              <w:t>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5"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30" w:type="dxa"/>
            <w:tcBorders>
              <w:bottom w:val="double" w:sz="6" w:space="0" w:color="000000"/>
            </w:tcBorders>
            <w:tcMar>
              <w:bottom w:w="28" w:type="dxa"/>
            </w:tcMar>
            <w:vAlign w:val="center"/>
          </w:tcPr>
          <w:p>
            <w:pPr>
              <w:pStyle w:val="TableContents"/>
              <w:bidi w:val="0"/>
              <w:spacing w:before="0" w:after="283"/>
              <w:jc w:val="right"/>
              <w:rPr>
                <w:b/>
              </w:rPr>
            </w:pPr>
            <w:r>
              <w:rPr>
                <w:b/>
              </w:rPr>
              <w:t>1,426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640" w:type="dxa"/>
            <w:tcBorders>
              <w:bottom w:val="double" w:sz="6" w:space="0" w:color="000000"/>
            </w:tcBorders>
            <w:tcMar>
              <w:bottom w:w="28" w:type="dxa"/>
            </w:tcMar>
            <w:vAlign w:val="center"/>
          </w:tcPr>
          <w:p>
            <w:pPr>
              <w:pStyle w:val="TableContents"/>
              <w:bidi w:val="0"/>
              <w:spacing w:before="0" w:after="283"/>
              <w:jc w:val="right"/>
              <w:rPr>
                <w:b/>
              </w:rPr>
            </w:pPr>
            <w:r>
              <w:rPr>
                <w:b/>
              </w:rPr>
              <w:t>(177</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65" w:type="dxa"/>
            <w:tcBorders>
              <w:bottom w:val="double" w:sz="6" w:space="0" w:color="000000"/>
            </w:tcBorders>
            <w:tcMar>
              <w:bottom w:w="28" w:type="dxa"/>
            </w:tcMar>
            <w:vAlign w:val="center"/>
          </w:tcPr>
          <w:p>
            <w:pPr>
              <w:pStyle w:val="TableContents"/>
              <w:bidi w:val="0"/>
              <w:spacing w:before="0" w:after="283"/>
              <w:jc w:val="right"/>
              <w:rPr>
                <w:b/>
              </w:rPr>
            </w:pPr>
            <w:r>
              <w:rPr>
                <w:b/>
              </w:rPr>
              <w:t>(211</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40" w:type="dxa"/>
            <w:tcBorders>
              <w:bottom w:val="double" w:sz="6" w:space="0" w:color="000000"/>
            </w:tcBorders>
            <w:tcMar>
              <w:bottom w:w="28" w:type="dxa"/>
            </w:tcMar>
            <w:vAlign w:val="center"/>
          </w:tcPr>
          <w:p>
            <w:pPr>
              <w:pStyle w:val="TableContents"/>
              <w:bidi w:val="0"/>
              <w:spacing w:before="0" w:after="283"/>
              <w:jc w:val="right"/>
              <w:rPr>
                <w:b/>
              </w:rPr>
            </w:pPr>
            <w:r>
              <w:rPr>
                <w:b/>
              </w:rPr>
              <w:t>1,039</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tbl>
      <w:tblPr>
        <w:tblW w:w="1385" w:type="dxa"/>
        <w:jc w:val="left"/>
        <w:tblInd w:w="0" w:type="dxa"/>
        <w:tblLayout w:type="fixed"/>
        <w:tblCellMar>
          <w:top w:w="0" w:type="dxa"/>
          <w:left w:w="0" w:type="dxa"/>
          <w:bottom w:w="0" w:type="dxa"/>
          <w:right w:w="0" w:type="dxa"/>
        </w:tblCellMar>
      </w:tblPr>
      <w:tblGrid>
        <w:gridCol w:w="68"/>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53"/>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24" w:before="0" w:after="0"/>
        <w:jc w:val="center"/>
        <w:rPr/>
      </w:pPr>
      <w:r>
        <w:rPr/>
        <w:t> </w:t>
      </w:r>
    </w:p>
    <w:tbl>
      <w:tblPr>
        <w:tblW w:w="9480" w:type="dxa"/>
        <w:jc w:val="left"/>
        <w:tblInd w:w="0" w:type="dxa"/>
        <w:tblLayout w:type="fixed"/>
        <w:tblCellMar>
          <w:top w:w="0" w:type="dxa"/>
          <w:left w:w="0" w:type="dxa"/>
          <w:bottom w:w="0" w:type="dxa"/>
          <w:right w:w="0" w:type="dxa"/>
        </w:tblCellMar>
      </w:tblPr>
      <w:tblGrid>
        <w:gridCol w:w="3680"/>
        <w:gridCol w:w="90"/>
        <w:gridCol w:w="170"/>
        <w:gridCol w:w="290"/>
        <w:gridCol w:w="90"/>
        <w:gridCol w:w="90"/>
        <w:gridCol w:w="170"/>
        <w:gridCol w:w="665"/>
        <w:gridCol w:w="185"/>
        <w:gridCol w:w="90"/>
        <w:gridCol w:w="170"/>
        <w:gridCol w:w="590"/>
        <w:gridCol w:w="185"/>
        <w:gridCol w:w="90"/>
        <w:gridCol w:w="170"/>
        <w:gridCol w:w="485"/>
        <w:gridCol w:w="185"/>
        <w:gridCol w:w="90"/>
        <w:gridCol w:w="170"/>
        <w:gridCol w:w="485"/>
        <w:gridCol w:w="185"/>
        <w:gridCol w:w="90"/>
        <w:gridCol w:w="170"/>
        <w:gridCol w:w="665"/>
        <w:gridCol w:w="230"/>
      </w:tblGrid>
      <w:tr>
        <w:trPr/>
        <w:tc>
          <w:tcPr>
            <w:tcW w:w="36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bidi w:val="0"/>
              <w:spacing w:before="0" w:after="283"/>
              <w:jc w:val="left"/>
              <w:rPr/>
            </w:pPr>
            <w:r>
              <w:rPr/>
              <w:t>Balance at September 28, 2024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2,307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 w:type="dxa"/>
            <w:tcBorders/>
            <w:vAlign w:val="center"/>
          </w:tcPr>
          <w:p>
            <w:pPr>
              <w:pStyle w:val="TableContents"/>
              <w:bidi w:val="0"/>
              <w:spacing w:before="0" w:after="283"/>
              <w:jc w:val="right"/>
              <w:rPr/>
            </w:pPr>
            <w:r>
              <w:rPr/>
              <w:t>(168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2,139</w:t>
            </w:r>
          </w:p>
        </w:tc>
        <w:tc>
          <w:tcPr>
            <w:tcW w:w="23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(101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(101</w:t>
            </w:r>
          </w:p>
        </w:tc>
        <w:tc>
          <w:tcPr>
            <w:tcW w:w="23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Other comprehensive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(46</w:t>
            </w:r>
          </w:p>
        </w:tc>
        <w:tc>
          <w:tcPr>
            <w:tcW w:w="23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Cash distribution to parent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(1,111</w:t>
            </w:r>
          </w:p>
        </w:tc>
        <w:tc>
          <w:tcPr>
            <w:tcW w:w="23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Transfers from parent,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129</w:t>
            </w:r>
          </w:p>
        </w:tc>
        <w:tc>
          <w:tcPr>
            <w:tcW w:w="23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Distribution of parent’s net investment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(1,325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1,324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Acquisition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74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74</w:t>
            </w:r>
          </w:p>
        </w:tc>
        <w:tc>
          <w:tcPr>
            <w:tcW w:w="23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Share-based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10</w:t>
            </w:r>
          </w:p>
        </w:tc>
        <w:tc>
          <w:tcPr>
            <w:tcW w:w="23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290"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(1</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485"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485"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665" w:type="dxa"/>
            <w:tcBorders>
              <w:bottom w:val="single" w:sz="6" w:space="0" w:color="000000"/>
            </w:tcBorders>
            <w:tcMar>
              <w:bottom w:w="28" w:type="dxa"/>
            </w:tcMar>
            <w:vAlign w:val="center"/>
          </w:tcPr>
          <w:p>
            <w:pPr>
              <w:pStyle w:val="TableContents"/>
              <w:bidi w:val="0"/>
              <w:spacing w:before="0" w:after="283"/>
              <w:jc w:val="right"/>
              <w:rPr/>
            </w:pPr>
            <w:r>
              <w:rPr/>
              <w:t>(1</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Balance at March 29, 2025</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290" w:type="dxa"/>
            <w:tcBorders>
              <w:bottom w:val="double" w:sz="6" w:space="0" w:color="000000"/>
            </w:tcBorders>
            <w:tcMar>
              <w:bottom w:w="28" w:type="dxa"/>
            </w:tcMar>
            <w:vAlign w:val="center"/>
          </w:tcPr>
          <w:p>
            <w:pPr>
              <w:pStyle w:val="TableContents"/>
              <w:bidi w:val="0"/>
              <w:spacing w:before="0" w:after="283"/>
              <w:jc w:val="right"/>
              <w:rPr/>
            </w:pPr>
            <w:r>
              <w:rPr/>
              <w:t>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1,407</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tcMar>
              <w:bottom w:w="28" w:type="dxa"/>
            </w:tcMar>
            <w:vAlign w:val="center"/>
          </w:tcPr>
          <w:p>
            <w:pPr>
              <w:pStyle w:val="TableContents"/>
              <w:bidi w:val="0"/>
              <w:spacing w:before="0" w:after="283"/>
              <w:jc w:val="right"/>
              <w:rPr/>
            </w:pPr>
            <w:r>
              <w:rPr/>
              <w:t>(214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tcMar>
              <w:bottom w:w="28" w:type="dxa"/>
            </w:tcMar>
            <w:vAlign w:val="center"/>
          </w:tcPr>
          <w:p>
            <w:pPr>
              <w:pStyle w:val="TableContents"/>
              <w:bidi w:val="0"/>
              <w:spacing w:before="0" w:after="283"/>
              <w:jc w:val="right"/>
              <w:rPr/>
            </w:pPr>
            <w:r>
              <w:rPr/>
              <w:t>(101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tcMar>
              <w:bottom w:w="28" w:type="dxa"/>
            </w:tcMar>
            <w:vAlign w:val="center"/>
          </w:tcPr>
          <w:p>
            <w:pPr>
              <w:pStyle w:val="TableContents"/>
              <w:bidi w:val="0"/>
              <w:spacing w:before="0" w:after="283"/>
              <w:jc w:val="right"/>
              <w:rPr/>
            </w:pPr>
            <w:r>
              <w:rPr/>
              <w:t>1,093</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24" w:before="0" w:after="0"/>
        <w:jc w:val="center"/>
        <w:rPr/>
      </w:pPr>
      <w:r>
        <w:rPr/>
        <w:t> </w:t>
      </w:r>
    </w:p>
    <w:p>
      <w:pPr>
        <w:pStyle w:val="TextBody"/>
        <w:bidi w:val="0"/>
        <w:spacing w:lineRule="auto" w:line="324" w:before="0" w:after="0"/>
        <w:jc w:val="center"/>
        <w:rPr>
          <w:rFonts w:ascii="Times New Roman" w:hAnsi="Times New Roman"/>
          <w:sz w:val="18"/>
        </w:rPr>
      </w:pPr>
      <w:r>
        <w:rPr>
          <w:rFonts w:ascii="Times New Roman" w:hAnsi="Times New Roman"/>
          <w:i/>
          <w:spacing w:val="0"/>
          <w:sz w:val="20"/>
        </w:rPr>
        <w:t>See notes to Condensed Consolidated and Combined Financial Statements.</w:t>
      </w:r>
      <w:r>
        <w:rPr>
          <w:rFonts w:ascii="Times New Roman" w:hAnsi="Times New Roman"/>
          <w:sz w:val="18"/>
        </w:rPr>
        <w:t xml:space="preserve">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7</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24" w:before="0" w:after="0"/>
        <w:jc w:val="center"/>
        <w:rPr>
          <w:rFonts w:ascii="Times New Roman" w:hAnsi="Times New Roman"/>
          <w:sz w:val="18"/>
        </w:rPr>
      </w:pPr>
      <w:bookmarkStart w:id="8" w:name="Section10"/>
      <w:bookmarkEnd w:id="8"/>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b/>
          <w:sz w:val="20"/>
        </w:rPr>
        <w:t xml:space="preserve">Notes to </w:t>
      </w:r>
      <w:r>
        <w:rPr>
          <w:rFonts w:ascii="Times New Roman" w:hAnsi="Times New Roman"/>
          <w:b/>
          <w:spacing w:val="0"/>
          <w:sz w:val="20"/>
        </w:rPr>
        <w:t>Condensed </w:t>
      </w:r>
      <w:r>
        <w:rPr>
          <w:rFonts w:ascii="Times New Roman" w:hAnsi="Times New Roman"/>
          <w:b/>
          <w:sz w:val="20"/>
        </w:rPr>
        <w:t>Consolidated and Combined Financial Statements</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(tables in millions of dollars, except per share data)</w:t>
      </w:r>
      <w:r>
        <w:rPr>
          <w:rFonts w:ascii="Times New Roman" w:hAnsi="Times New Roman"/>
          <w:sz w:val="18"/>
        </w:rPr>
        <w:t xml:space="preserve"> </w:t>
      </w:r>
    </w:p>
    <w:p>
      <w:pPr>
        <w:pStyle w:val="TextBody"/>
        <w:bidi w:val="0"/>
        <w:spacing w:lineRule="auto" w:line="324" w:before="0" w:after="0"/>
        <w:ind w:left="0" w:right="0" w:hanging="540"/>
        <w:jc w:val="left"/>
        <w:rPr/>
      </w:pPr>
      <w:r>
        <w:rPr/>
        <w:t> </w:t>
      </w:r>
    </w:p>
    <w:p>
      <w:pPr>
        <w:pStyle w:val="TextBody"/>
        <w:bidi w:val="0"/>
        <w:spacing w:lineRule="auto" w:line="314" w:before="0" w:after="0"/>
        <w:jc w:val="left"/>
        <w:rPr>
          <w:rFonts w:ascii="Times New Roman" w:hAnsi="Times New Roman"/>
          <w:b/>
          <w:sz w:val="18"/>
        </w:rPr>
      </w:pPr>
      <w:r>
        <w:rPr>
          <w:rFonts w:ascii="Times New Roman" w:hAnsi="Times New Roman"/>
          <w:b/>
          <w:sz w:val="18"/>
        </w:rPr>
        <w:t>1.         Basis of Presentation</w:t>
      </w:r>
    </w:p>
    <w:p>
      <w:pPr>
        <w:pStyle w:val="TextBody"/>
        <w:bidi w:val="0"/>
        <w:spacing w:lineRule="auto" w:line="314"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On November 4, 2024 (the “Closing Date”), Treasure Holdco, Inc., which was a wholly owned subsidiary of Berry Global Group, Inc. (“Berry”), completed its merger (the “merger”) with the Glatfelter Corporation which concurrently changed its name to Magnera Corporation.</w:t>
      </w:r>
    </w:p>
    <w:p>
      <w:pPr>
        <w:pStyle w:val="TextBody"/>
        <w:bidi w:val="0"/>
        <w:spacing w:lineRule="auto" w:line="314"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The Consolidated and Combined Financial Statements contain combined financial statements for the fiscal periods prior to the Closing Date of the merger and were prepared on a stand-alone basis. The pre-merger Combined Financial Statements of Operations, Comprehensive Income (Loss), Cash Flows and Changes in Equity have been prepared on a carve-out basis, which include assumptions underlying the preparation that management believes are reasonable. However, the combined pre-merger financial information included herein may not necessarily reflect the Company’s results of operations, comprehensive income (loss), cash flows and changes in equity had the Company been an independent stand-alone company during the periods presented.</w:t>
      </w:r>
    </w:p>
    <w:p>
      <w:pPr>
        <w:pStyle w:val="TextBody"/>
        <w:bidi w:val="0"/>
        <w:spacing w:lineRule="auto" w:line="314"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The accompanying unaudited Consolidated and Combined Financial Statements of Magnera have been prepared in accordance with accounting principles generally accepted in the United States (“GAAP”) pursuant to the rules and regulations of the Securities and Exchange Commission (the "SEC") for interim reporting. In preparing financial statements in conformity with GAAP, we must make estimates and assumptions that affect the reported amounts and disclosures at the date of the financial statements and during the reporting period. Actual results could differ from those estimates. In the opinion of management, all adjustments (consisting of normal recurring adjustments) considered necessary for a fair presentation have been included, and all subsequent events up to the time of the filing have been evaluated. For further information, refer to the Company’s Form 10-K filed with the SEC on November 25, 2025.</w:t>
      </w:r>
    </w:p>
    <w:p>
      <w:pPr>
        <w:pStyle w:val="TextBody"/>
        <w:bidi w:val="0"/>
        <w:spacing w:lineRule="auto" w:line="314" w:before="0" w:after="0"/>
        <w:jc w:val="left"/>
        <w:rPr/>
      </w:pPr>
      <w:r>
        <w:rPr/>
        <w:t> </w:t>
      </w:r>
    </w:p>
    <w:p>
      <w:pPr>
        <w:pStyle w:val="TextBody"/>
        <w:bidi w:val="0"/>
        <w:spacing w:before="0" w:after="0"/>
        <w:ind w:left="0" w:right="0" w:hanging="0"/>
        <w:jc w:val="left"/>
        <w:rPr>
          <w:rFonts w:ascii="Times New Roman" w:hAnsi="Times New Roman"/>
          <w:b/>
          <w:sz w:val="18"/>
        </w:rPr>
      </w:pPr>
      <w:r>
        <w:rPr>
          <w:rFonts w:ascii="Times New Roman" w:hAnsi="Times New Roman"/>
          <w:b/>
          <w:sz w:val="18"/>
        </w:rPr>
        <w:t>Recently Issued Accounting Pronouncements</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 xml:space="preserve">In 2023, the Financial Accounting Standards Board ("FASB") issued guidance with the goal of providing more information in the income tax reconciliation table and regarding income taxes paid. This Accounting Standard Update ("ASU") is effective for fiscal years beginning after December 15, 2024, may be applied prospectively or retrospectively, and allows for early adoption. The Company is currently evaluating the impact of adopting this guidance. </w:t>
      </w:r>
    </w:p>
    <w:p>
      <w:pPr>
        <w:pStyle w:val="TextBody"/>
        <w:bidi w:val="0"/>
        <w:spacing w:before="0" w:after="0"/>
        <w:jc w:val="left"/>
        <w:rPr/>
      </w:pPr>
      <w:r>
        <w:rPr/>
        <w:t xml:space="preserve">  </w:t>
      </w:r>
    </w:p>
    <w:p>
      <w:pPr>
        <w:pStyle w:val="TextBody"/>
        <w:bidi w:val="0"/>
        <w:spacing w:before="0" w:after="0"/>
        <w:ind w:left="0" w:right="0" w:hanging="0"/>
        <w:jc w:val="left"/>
        <w:rPr>
          <w:rFonts w:ascii="Times New Roman" w:hAnsi="Times New Roman"/>
          <w:sz w:val="18"/>
        </w:rPr>
      </w:pPr>
      <w:r>
        <w:rPr>
          <w:rFonts w:ascii="Times New Roman" w:hAnsi="Times New Roman"/>
          <w:sz w:val="18"/>
        </w:rPr>
        <w:t>In 2024, the FASB issued guidance with the goal of providing more expense information for certain categories of expenses that are included in line items on the face of the statements of operations. This ASU is effective for fiscal years beginning after December 15, 2026 and for interim periods beginning after December 15, 2027, and may be adopted on a prospective or retrospective basis, and allows for early adoption. The Company is currently evaluating the impact of adopting this guidance.</w:t>
      </w:r>
    </w:p>
    <w:p>
      <w:pPr>
        <w:pStyle w:val="TextBody"/>
        <w:bidi w:val="0"/>
        <w:spacing w:lineRule="auto" w:line="324" w:before="0" w:after="0"/>
        <w:ind w:left="0" w:right="0" w:hanging="54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2.         Revenue and Accounts Receivable</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Revenue is recognized when performance obligations are satisfied, in an amount reflecting the consideration to which the Company expects to be entitled.  We consider the promise to transfer products to be our sole performance obligation.  Generally, our revenue is recognized for standard promised goods at the time of shipment, when title and risk of loss pass to the customer.  The Company disaggregates revenue based on reportable business segment, geography, and significant product line. See Note 8. Segment and Geographic Data.</w:t>
      </w:r>
      <w:r>
        <w:rPr>
          <w:rFonts w:ascii="Times New Roman" w:hAnsi="Times New Roman"/>
          <w:sz w:val="18"/>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 xml:space="preserve">The Company records current expected credit losses based on a variety of factors including historical loss experience and current customer financial condition.  The reserve as of each period end and changes to our current expected credit losses, write-off activity, and recoveries were not material for any of the periods presented.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The Company participates in customer supply chain financing programs to collect certain receivables through third-party financial institutions. These arrangements qualify as true sales, as the receivables are transferred without recourse. As a result, the balances are removed from trade receivables on the balance sheet, and the cash proceeds are reported as operating cash flows.</w:t>
      </w:r>
    </w:p>
    <w:p>
      <w:pPr>
        <w:pStyle w:val="TextBody"/>
        <w:bidi w:val="0"/>
        <w:spacing w:lineRule="auto" w:line="324" w:before="0" w:after="0"/>
        <w:jc w:val="left"/>
        <w:rPr>
          <w:sz w:val="20"/>
        </w:rPr>
      </w:pPr>
      <w:r>
        <w:rPr>
          <w:sz w:val="20"/>
        </w:rPr>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8</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24" w:before="0" w:after="0"/>
        <w:jc w:val="left"/>
        <w:rPr/>
      </w:pPr>
      <w:r>
        <w:rPr/>
        <w:t> </w:t>
      </w:r>
      <w:r>
        <w:rPr>
          <w:rFonts w:ascii="Times New Roman" w:hAnsi="Times New Roman"/>
          <w:b/>
          <w:spacing w:val="0"/>
          <w:sz w:val="18"/>
        </w:rPr>
        <w:t>3.         Restructuring and Other Activities</w:t>
      </w:r>
    </w:p>
    <w:p>
      <w:pPr>
        <w:pStyle w:val="TextBody"/>
        <w:bidi w:val="0"/>
        <w:spacing w:lineRule="auto" w:line="324"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During fiscal year 2025, the Company announced cost savings initiatives including plant rationalizations in all segments as part of the Project CORE restructuring plan. The project is expected to be carried out over the next two fiscal years, with the operations savings intended to counter general economic softness.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table below sets forth the significant components of the Restructuring and other activities, including supply chain financings activity charges recognized for the periods presented, by reportable segment:</w:t>
      </w:r>
      <w:r>
        <w:rPr>
          <w:rFonts w:ascii="Times New Roman" w:hAnsi="Times New Roman"/>
          <w:sz w:val="18"/>
        </w:rPr>
        <w:t xml:space="preserve"> </w:t>
      </w:r>
    </w:p>
    <w:p>
      <w:pPr>
        <w:pStyle w:val="TextBody"/>
        <w:bidi w:val="0"/>
        <w:spacing w:lineRule="auto" w:line="324" w:before="0" w:after="0"/>
        <w:jc w:val="left"/>
        <w:rPr/>
      </w:pPr>
      <w:r>
        <w:rPr/>
        <w:t> </w:t>
      </w:r>
    </w:p>
    <w:tbl>
      <w:tblPr>
        <w:tblW w:w="9255" w:type="dxa"/>
        <w:jc w:val="left"/>
        <w:tblInd w:w="0" w:type="dxa"/>
        <w:tblLayout w:type="fixed"/>
        <w:tblCellMar>
          <w:top w:w="0" w:type="dxa"/>
          <w:left w:w="0" w:type="dxa"/>
          <w:bottom w:w="0" w:type="dxa"/>
          <w:right w:w="0" w:type="dxa"/>
        </w:tblCellMar>
      </w:tblPr>
      <w:tblGrid>
        <w:gridCol w:w="1400"/>
        <w:gridCol w:w="90"/>
        <w:gridCol w:w="170"/>
        <w:gridCol w:w="1640"/>
        <w:gridCol w:w="90"/>
        <w:gridCol w:w="90"/>
        <w:gridCol w:w="170"/>
        <w:gridCol w:w="1565"/>
        <w:gridCol w:w="90"/>
        <w:gridCol w:w="90"/>
        <w:gridCol w:w="170"/>
        <w:gridCol w:w="1640"/>
        <w:gridCol w:w="90"/>
        <w:gridCol w:w="90"/>
        <w:gridCol w:w="170"/>
        <w:gridCol w:w="1565"/>
        <w:gridCol w:w="135"/>
      </w:tblGrid>
      <w:tr>
        <w:trPr/>
        <w:tc>
          <w:tcPr>
            <w:tcW w:w="1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1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pPr>
            <w:r>
              <w:rPr/>
              <w:t> </w:t>
            </w:r>
          </w:p>
        </w:tc>
        <w:tc>
          <w:tcPr>
            <w:tcW w:w="386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Two Quarterly Periods Ended</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March 28,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5" w:type="dxa"/>
            <w:tcBorders>
              <w:bottom w:val="single" w:sz="6" w:space="0" w:color="000000"/>
            </w:tcBorders>
            <w:tcMar>
              <w:bottom w:w="28" w:type="dxa"/>
            </w:tcMar>
            <w:vAlign w:val="center"/>
          </w:tcPr>
          <w:p>
            <w:pPr>
              <w:pStyle w:val="TableContents"/>
              <w:bidi w:val="0"/>
              <w:spacing w:before="0" w:after="283"/>
              <w:jc w:val="center"/>
              <w:rPr/>
            </w:pPr>
            <w:r>
              <w:rPr/>
              <w:t>March 29, 2025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March 28,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5" w:type="dxa"/>
            <w:tcBorders>
              <w:bottom w:val="single" w:sz="6" w:space="0" w:color="000000"/>
            </w:tcBorders>
            <w:tcMar>
              <w:bottom w:w="28" w:type="dxa"/>
            </w:tcMar>
            <w:vAlign w:val="center"/>
          </w:tcPr>
          <w:p>
            <w:pPr>
              <w:pStyle w:val="TableContents"/>
              <w:bidi w:val="0"/>
              <w:spacing w:before="0" w:after="283"/>
              <w:jc w:val="center"/>
              <w:rPr/>
            </w:pPr>
            <w:r>
              <w:rPr/>
              <w:t>March 29, 2025</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640" w:type="dxa"/>
            <w:tcBorders/>
            <w:vAlign w:val="center"/>
          </w:tcPr>
          <w:p>
            <w:pPr>
              <w:pStyle w:val="TableContents"/>
              <w:bidi w:val="0"/>
              <w:spacing w:before="0" w:after="283"/>
              <w:jc w:val="right"/>
              <w:rPr>
                <w:b/>
              </w:rPr>
            </w:pPr>
            <w:r>
              <w:rPr>
                <w:b/>
              </w:rPr>
              <w:t>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right"/>
              <w:rPr/>
            </w:pPr>
            <w:r>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640" w:type="dxa"/>
            <w:tcBorders/>
            <w:vAlign w:val="center"/>
          </w:tcPr>
          <w:p>
            <w:pPr>
              <w:pStyle w:val="TableContents"/>
              <w:bidi w:val="0"/>
              <w:spacing w:before="0" w:after="283"/>
              <w:jc w:val="right"/>
              <w:rPr>
                <w:b/>
              </w:rPr>
            </w:pPr>
            <w:r>
              <w:rPr>
                <w:b/>
              </w:rPr>
              <w:t>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right"/>
              <w:rPr/>
            </w:pPr>
            <w:r>
              <w:rPr/>
              <w:t>34</w:t>
            </w:r>
          </w:p>
        </w:tc>
        <w:tc>
          <w:tcPr>
            <w:tcW w:w="13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b/>
              </w:rPr>
            </w:pPr>
            <w:r>
              <w:rPr>
                <w:b/>
              </w:rPr>
              <w:t>3</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5" w:type="dxa"/>
            <w:tcBorders>
              <w:bottom w:val="single" w:sz="6" w:space="0" w:color="000000"/>
            </w:tcBorders>
            <w:tcMar>
              <w:bottom w:w="28" w:type="dxa"/>
            </w:tcMar>
            <w:vAlign w:val="center"/>
          </w:tcPr>
          <w:p>
            <w:pPr>
              <w:pStyle w:val="TableContents"/>
              <w:bidi w:val="0"/>
              <w:spacing w:before="0" w:after="283"/>
              <w:jc w:val="right"/>
              <w:rPr/>
            </w:pPr>
            <w:r>
              <w:rPr/>
              <w:t>9</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b/>
              </w:rPr>
            </w:pPr>
            <w:r>
              <w:rPr>
                <w:b/>
              </w:rPr>
              <w:t>11</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5" w:type="dxa"/>
            <w:tcBorders>
              <w:bottom w:val="single" w:sz="6" w:space="0" w:color="000000"/>
            </w:tcBorders>
            <w:tcMar>
              <w:bottom w:w="28" w:type="dxa"/>
            </w:tcMar>
            <w:vAlign w:val="center"/>
          </w:tcPr>
          <w:p>
            <w:pPr>
              <w:pStyle w:val="TableContents"/>
              <w:bidi w:val="0"/>
              <w:spacing w:before="0" w:after="283"/>
              <w:jc w:val="right"/>
              <w:rPr/>
            </w:pPr>
            <w:r>
              <w:rPr/>
              <w:t>21</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Consolidated</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640" w:type="dxa"/>
            <w:tcBorders>
              <w:bottom w:val="double" w:sz="6" w:space="0" w:color="000000"/>
            </w:tcBorders>
            <w:tcMar>
              <w:bottom w:w="28" w:type="dxa"/>
            </w:tcMar>
            <w:vAlign w:val="center"/>
          </w:tcPr>
          <w:p>
            <w:pPr>
              <w:pStyle w:val="TableContents"/>
              <w:bidi w:val="0"/>
              <w:spacing w:before="0" w:after="283"/>
              <w:jc w:val="right"/>
              <w:rPr>
                <w:b/>
              </w:rPr>
            </w:pPr>
            <w:r>
              <w:rPr>
                <w:b/>
              </w:rPr>
              <w:t>16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tcMar>
              <w:bottom w:w="28" w:type="dxa"/>
            </w:tcMar>
            <w:vAlign w:val="center"/>
          </w:tcPr>
          <w:p>
            <w:pPr>
              <w:pStyle w:val="TableContents"/>
              <w:bidi w:val="0"/>
              <w:spacing w:before="0" w:after="283"/>
              <w:jc w:val="right"/>
              <w:rPr/>
            </w:pPr>
            <w:r>
              <w:rPr/>
              <w:t>23</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640" w:type="dxa"/>
            <w:tcBorders>
              <w:bottom w:val="double" w:sz="6" w:space="0" w:color="000000"/>
            </w:tcBorders>
            <w:tcMar>
              <w:bottom w:w="28" w:type="dxa"/>
            </w:tcMar>
            <w:vAlign w:val="center"/>
          </w:tcPr>
          <w:p>
            <w:pPr>
              <w:pStyle w:val="TableContents"/>
              <w:bidi w:val="0"/>
              <w:spacing w:before="0" w:after="283"/>
              <w:jc w:val="right"/>
              <w:rPr>
                <w:b/>
              </w:rPr>
            </w:pPr>
            <w:r>
              <w:rPr>
                <w:b/>
              </w:rPr>
              <w:t>38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65" w:type="dxa"/>
            <w:tcBorders>
              <w:bottom w:val="double" w:sz="6" w:space="0" w:color="000000"/>
            </w:tcBorders>
            <w:tcMar>
              <w:bottom w:w="28" w:type="dxa"/>
            </w:tcMar>
            <w:vAlign w:val="center"/>
          </w:tcPr>
          <w:p>
            <w:pPr>
              <w:pStyle w:val="TableContents"/>
              <w:bidi w:val="0"/>
              <w:spacing w:before="0" w:after="283"/>
              <w:jc w:val="right"/>
              <w:rPr/>
            </w:pPr>
            <w:r>
              <w:rPr/>
              <w:t>55</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table below sets forth the activity with respect to the Restructuring and other activities accrual at March 28, 2026:</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0"/>
        <w:gridCol w:w="90"/>
        <w:gridCol w:w="170"/>
        <w:gridCol w:w="1718"/>
        <w:gridCol w:w="185"/>
        <w:gridCol w:w="90"/>
        <w:gridCol w:w="170"/>
        <w:gridCol w:w="1085"/>
        <w:gridCol w:w="185"/>
        <w:gridCol w:w="90"/>
        <w:gridCol w:w="170"/>
        <w:gridCol w:w="1120"/>
        <w:gridCol w:w="185"/>
        <w:gridCol w:w="90"/>
        <w:gridCol w:w="170"/>
        <w:gridCol w:w="1190"/>
        <w:gridCol w:w="185"/>
        <w:gridCol w:w="90"/>
        <w:gridCol w:w="170"/>
        <w:gridCol w:w="590"/>
        <w:gridCol w:w="232"/>
      </w:tblGrid>
      <w:tr>
        <w:trPr/>
        <w:tc>
          <w:tcPr>
            <w:tcW w:w="22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68" w:type="dxa"/>
            <w:gridSpan w:val="11"/>
            <w:tcBorders>
              <w:bottom w:val="single" w:sz="6" w:space="0" w:color="000000"/>
            </w:tcBorders>
            <w:tcMar>
              <w:bottom w:w="28" w:type="dxa"/>
            </w:tcMar>
            <w:vAlign w:val="center"/>
          </w:tcPr>
          <w:p>
            <w:pPr>
              <w:pStyle w:val="TableContents"/>
              <w:bidi w:val="0"/>
              <w:spacing w:before="0" w:after="283"/>
              <w:jc w:val="center"/>
              <w:rPr>
                <w:b/>
              </w:rPr>
            </w:pPr>
            <w:r>
              <w:rPr>
                <w:b/>
              </w:rPr>
              <w:t>Restructuring</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center"/>
              <w:rPr>
                <w:b/>
              </w:rPr>
            </w:pPr>
            <w:r>
              <w:rPr>
                <w:b/>
              </w:rPr>
              <w:t>Employee Severance</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Facility Exit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center"/>
              <w:rPr>
                <w:b/>
              </w:rPr>
            </w:pPr>
            <w:r>
              <w:rPr>
                <w:b/>
              </w:rPr>
              <w:t xml:space="preserve">Non-Cash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Integration</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2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718" w:type="dxa"/>
            <w:tcBorders>
              <w:bottom w:val="single" w:sz="6" w:space="0" w:color="000000"/>
            </w:tcBorders>
            <w:tcMar>
              <w:bottom w:w="28" w:type="dxa"/>
            </w:tcMar>
            <w:vAlign w:val="center"/>
          </w:tcPr>
          <w:p>
            <w:pPr>
              <w:pStyle w:val="TableContents"/>
              <w:bidi w:val="0"/>
              <w:spacing w:before="0" w:after="283"/>
              <w:jc w:val="center"/>
              <w:rPr>
                <w:b/>
              </w:rPr>
            </w:pPr>
            <w:r>
              <w:rPr>
                <w:b/>
              </w:rPr>
              <w:t>and Benefits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5" w:type="dxa"/>
            <w:tcBorders>
              <w:bottom w:val="single" w:sz="6" w:space="0" w:color="000000"/>
            </w:tcBorders>
            <w:tcMar>
              <w:bottom w:w="28" w:type="dxa"/>
            </w:tcMar>
            <w:vAlign w:val="center"/>
          </w:tcPr>
          <w:p>
            <w:pPr>
              <w:pStyle w:val="TableContents"/>
              <w:bidi w:val="0"/>
              <w:spacing w:before="0" w:after="283"/>
              <w:jc w:val="center"/>
              <w:rPr>
                <w:b/>
              </w:rPr>
            </w:pPr>
            <w:r>
              <w:rPr>
                <w:b/>
              </w:rPr>
              <w:t>Costs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20" w:type="dxa"/>
            <w:tcBorders>
              <w:bottom w:val="single" w:sz="6" w:space="0" w:color="000000"/>
            </w:tcBorders>
            <w:tcMar>
              <w:bottom w:w="28" w:type="dxa"/>
            </w:tcMar>
            <w:vAlign w:val="center"/>
          </w:tcPr>
          <w:p>
            <w:pPr>
              <w:pStyle w:val="TableContents"/>
              <w:bidi w:val="0"/>
              <w:spacing w:before="0" w:after="283"/>
              <w:jc w:val="center"/>
              <w:rPr>
                <w:b/>
              </w:rPr>
            </w:pPr>
            <w:r>
              <w:rPr>
                <w:b/>
              </w:rPr>
              <w:t>Charges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center"/>
              <w:rPr>
                <w:b/>
              </w:rPr>
            </w:pPr>
            <w:r>
              <w:rPr>
                <w:b/>
              </w:rPr>
              <w:t>and Other</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Total</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30" w:type="dxa"/>
            <w:tcBorders/>
            <w:vAlign w:val="center"/>
          </w:tcPr>
          <w:p>
            <w:pPr>
              <w:pStyle w:val="TableContents"/>
              <w:bidi w:val="0"/>
              <w:spacing w:before="0" w:after="283"/>
              <w:jc w:val="left"/>
              <w:rPr/>
            </w:pPr>
            <w:r>
              <w:rPr/>
              <w:t>Balance at September 27,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18" w:type="dxa"/>
            <w:tcBorders/>
            <w:vAlign w:val="center"/>
          </w:tcPr>
          <w:p>
            <w:pPr>
              <w:pStyle w:val="TableContents"/>
              <w:bidi w:val="0"/>
              <w:spacing w:before="0" w:after="283"/>
              <w:jc w:val="right"/>
              <w:rPr/>
            </w:pPr>
            <w:r>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2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right"/>
              <w:rPr/>
            </w:pPr>
            <w:r>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15</w:t>
            </w:r>
          </w:p>
        </w:tc>
        <w:tc>
          <w:tcPr>
            <w:tcW w:w="232" w:type="dxa"/>
            <w:tcBorders/>
            <w:vAlign w:val="center"/>
          </w:tcPr>
          <w:p>
            <w:pPr>
              <w:pStyle w:val="TableContents"/>
              <w:bidi w:val="0"/>
              <w:spacing w:before="0" w:after="283"/>
              <w:jc w:val="left"/>
              <w:rPr/>
            </w:pPr>
            <w:r>
              <w:rPr/>
              <w:t> </w:t>
            </w:r>
          </w:p>
        </w:tc>
      </w:tr>
      <w:tr>
        <w:trPr/>
        <w:tc>
          <w:tcPr>
            <w:tcW w:w="2230" w:type="dxa"/>
            <w:tcBorders/>
            <w:vAlign w:val="center"/>
          </w:tcPr>
          <w:p>
            <w:pPr>
              <w:pStyle w:val="TableContents"/>
              <w:bidi w:val="0"/>
              <w:spacing w:before="0" w:after="283"/>
              <w:jc w:val="left"/>
              <w:rPr/>
            </w:pPr>
            <w:r>
              <w:rPr/>
              <w:t>Charges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right"/>
              <w:rPr>
                <w:b/>
              </w:rPr>
            </w:pPr>
            <w:r>
              <w:rPr>
                <w:b/>
              </w:rPr>
              <w:t>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b/>
              </w:rPr>
            </w:pPr>
            <w:r>
              <w:rPr>
                <w:b/>
              </w:rPr>
              <w:t>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b/>
              </w:rPr>
            </w:pPr>
            <w:r>
              <w:rPr>
                <w:b/>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b/>
              </w:rPr>
            </w:pPr>
            <w:r>
              <w:rPr>
                <w:b/>
              </w:rPr>
              <w:t>22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38</w:t>
            </w:r>
          </w:p>
        </w:tc>
        <w:tc>
          <w:tcPr>
            <w:tcW w:w="232" w:type="dxa"/>
            <w:tcBorders/>
            <w:vAlign w:val="center"/>
          </w:tcPr>
          <w:p>
            <w:pPr>
              <w:pStyle w:val="TableContents"/>
              <w:bidi w:val="0"/>
              <w:spacing w:before="0" w:after="283"/>
              <w:jc w:val="left"/>
              <w:rPr/>
            </w:pPr>
            <w:r>
              <w:rPr/>
              <w:t> </w:t>
            </w:r>
          </w:p>
        </w:tc>
      </w:tr>
      <w:tr>
        <w:trPr/>
        <w:tc>
          <w:tcPr>
            <w:tcW w:w="2230" w:type="dxa"/>
            <w:tcBorders/>
            <w:vAlign w:val="center"/>
          </w:tcPr>
          <w:p>
            <w:pPr>
              <w:pStyle w:val="TableContents"/>
              <w:bidi w:val="0"/>
              <w:spacing w:before="0" w:after="283"/>
              <w:jc w:val="left"/>
              <w:rPr/>
            </w:pPr>
            <w:r>
              <w:rPr/>
              <w:t>Non-cash items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0" w:type="dxa"/>
            <w:tcBorders/>
            <w:vAlign w:val="center"/>
          </w:tcPr>
          <w:p>
            <w:pPr>
              <w:pStyle w:val="TableContents"/>
              <w:bidi w:val="0"/>
              <w:spacing w:before="0" w:after="283"/>
              <w:jc w:val="right"/>
              <w:rPr>
                <w:b/>
              </w:rPr>
            </w:pPr>
            <w:r>
              <w:rPr>
                <w:b/>
              </w:rPr>
              <w:t>(3</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(3</w:t>
            </w:r>
          </w:p>
        </w:tc>
        <w:tc>
          <w:tcPr>
            <w:tcW w:w="232" w:type="dxa"/>
            <w:tcBorders/>
            <w:vAlign w:val="center"/>
          </w:tcPr>
          <w:p>
            <w:pPr>
              <w:pStyle w:val="TableContents"/>
              <w:bidi w:val="0"/>
              <w:spacing w:before="0" w:after="283"/>
              <w:jc w:val="left"/>
              <w:rPr>
                <w:b/>
              </w:rPr>
            </w:pPr>
            <w:r>
              <w:rPr>
                <w:b/>
              </w:rPr>
              <w:t>) </w:t>
            </w:r>
          </w:p>
        </w:tc>
      </w:tr>
      <w:tr>
        <w:trPr/>
        <w:tc>
          <w:tcPr>
            <w:tcW w:w="2230" w:type="dxa"/>
            <w:tcBorders/>
            <w:vAlign w:val="center"/>
          </w:tcPr>
          <w:p>
            <w:pPr>
              <w:pStyle w:val="TableContents"/>
              <w:bidi w:val="0"/>
              <w:spacing w:before="0" w:after="283"/>
              <w:jc w:val="left"/>
              <w:rPr/>
            </w:pPr>
            <w:r>
              <w:rPr/>
              <w:t>Cash payments</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718" w:type="dxa"/>
            <w:tcBorders>
              <w:bottom w:val="single" w:sz="6" w:space="0" w:color="000000"/>
            </w:tcBorders>
            <w:tcMar>
              <w:bottom w:w="28" w:type="dxa"/>
            </w:tcMar>
            <w:vAlign w:val="center"/>
          </w:tcPr>
          <w:p>
            <w:pPr>
              <w:pStyle w:val="TableContents"/>
              <w:bidi w:val="0"/>
              <w:spacing w:before="0" w:after="283"/>
              <w:jc w:val="right"/>
              <w:rPr>
                <w:b/>
              </w:rPr>
            </w:pPr>
            <w:r>
              <w:rPr>
                <w:b/>
              </w:rPr>
              <w:t>(14</w:t>
            </w:r>
          </w:p>
        </w:tc>
        <w:tc>
          <w:tcPr>
            <w:tcW w:w="185" w:type="dxa"/>
            <w:tcBorders>
              <w:bottom w:val="sing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5" w:type="dxa"/>
            <w:tcBorders>
              <w:bottom w:val="single" w:sz="6" w:space="0" w:color="000000"/>
            </w:tcBorders>
            <w:tcMar>
              <w:bottom w:w="28" w:type="dxa"/>
            </w:tcMar>
            <w:vAlign w:val="center"/>
          </w:tcPr>
          <w:p>
            <w:pPr>
              <w:pStyle w:val="TableContents"/>
              <w:bidi w:val="0"/>
              <w:spacing w:before="0" w:after="283"/>
              <w:jc w:val="right"/>
              <w:rPr>
                <w:b/>
              </w:rPr>
            </w:pPr>
            <w:r>
              <w:rPr>
                <w:b/>
              </w:rPr>
              <w:t>(2</w:t>
            </w:r>
          </w:p>
        </w:tc>
        <w:tc>
          <w:tcPr>
            <w:tcW w:w="185" w:type="dxa"/>
            <w:tcBorders>
              <w:bottom w:val="sing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20"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right"/>
              <w:rPr>
                <w:b/>
              </w:rPr>
            </w:pPr>
            <w:r>
              <w:rPr>
                <w:b/>
              </w:rPr>
              <w:t>(24</w:t>
            </w:r>
          </w:p>
        </w:tc>
        <w:tc>
          <w:tcPr>
            <w:tcW w:w="185" w:type="dxa"/>
            <w:tcBorders>
              <w:bottom w:val="sing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b/>
              </w:rPr>
            </w:pPr>
            <w:r>
              <w:rPr>
                <w:b/>
              </w:rPr>
              <w:t>(40</w:t>
            </w:r>
          </w:p>
        </w:tc>
        <w:tc>
          <w:tcPr>
            <w:tcW w:w="232" w:type="dxa"/>
            <w:tcBorders>
              <w:bottom w:val="single" w:sz="6" w:space="0" w:color="000000"/>
            </w:tcBorders>
            <w:tcMar>
              <w:bottom w:w="28" w:type="dxa"/>
            </w:tcMar>
            <w:vAlign w:val="center"/>
          </w:tcPr>
          <w:p>
            <w:pPr>
              <w:pStyle w:val="TableContents"/>
              <w:bidi w:val="0"/>
              <w:spacing w:before="0" w:after="283"/>
              <w:jc w:val="left"/>
              <w:rPr>
                <w:b/>
              </w:rPr>
            </w:pPr>
            <w:r>
              <w:rPr>
                <w:b/>
              </w:rPr>
              <w:t>) </w:t>
            </w:r>
          </w:p>
        </w:tc>
      </w:tr>
      <w:tr>
        <w:trPr/>
        <w:tc>
          <w:tcPr>
            <w:tcW w:w="2230" w:type="dxa"/>
            <w:tcBorders/>
            <w:vAlign w:val="center"/>
          </w:tcPr>
          <w:p>
            <w:pPr>
              <w:pStyle w:val="TableContents"/>
              <w:bidi w:val="0"/>
              <w:spacing w:before="0" w:after="283"/>
              <w:jc w:val="left"/>
              <w:rPr/>
            </w:pPr>
            <w:r>
              <w:rPr/>
              <w:t>Balance at March 28, 2026</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718" w:type="dxa"/>
            <w:tcBorders>
              <w:bottom w:val="double" w:sz="6" w:space="0" w:color="000000"/>
            </w:tcBorders>
            <w:tcMar>
              <w:bottom w:w="28" w:type="dxa"/>
            </w:tcMar>
            <w:vAlign w:val="center"/>
          </w:tcPr>
          <w:p>
            <w:pPr>
              <w:pStyle w:val="TableContents"/>
              <w:bidi w:val="0"/>
              <w:spacing w:before="0" w:after="283"/>
              <w:jc w:val="right"/>
              <w:rPr>
                <w:b/>
              </w:rPr>
            </w:pPr>
            <w:r>
              <w:rPr>
                <w:b/>
              </w:rPr>
              <w:t>10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85" w:type="dxa"/>
            <w:tcBorders>
              <w:bottom w:val="double" w:sz="6" w:space="0" w:color="000000"/>
            </w:tcBorders>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20" w:type="dxa"/>
            <w:tcBorders>
              <w:bottom w:val="double" w:sz="6" w:space="0" w:color="000000"/>
            </w:tcBorders>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90" w:type="dxa"/>
            <w:tcBorders>
              <w:bottom w:val="double" w:sz="6" w:space="0" w:color="000000"/>
            </w:tcBorders>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10</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4.         Leases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Company leases certain manufacturing facilities, warehouses, office space, manufacturing equipment, office equipment, and automobiles.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Supplemental lease information is as follows:</w:t>
      </w:r>
      <w:r>
        <w:rPr>
          <w:rFonts w:ascii="Times New Roman" w:hAnsi="Times New Roman"/>
          <w:sz w:val="1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83"/>
        <w:gridCol w:w="2406"/>
        <w:gridCol w:w="90"/>
        <w:gridCol w:w="170"/>
        <w:gridCol w:w="1627"/>
        <w:gridCol w:w="90"/>
        <w:gridCol w:w="90"/>
        <w:gridCol w:w="170"/>
        <w:gridCol w:w="1942"/>
        <w:gridCol w:w="137"/>
      </w:tblGrid>
      <w:tr>
        <w:trPr/>
        <w:tc>
          <w:tcPr>
            <w:tcW w:w="3483"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r>
      <w:tr>
        <w:trPr/>
        <w:tc>
          <w:tcPr>
            <w:tcW w:w="3483" w:type="dxa"/>
            <w:tcBorders>
              <w:bottom w:val="single" w:sz="2" w:space="0" w:color="000000"/>
            </w:tcBorders>
            <w:tcMar>
              <w:bottom w:w="28" w:type="dxa"/>
            </w:tcMar>
            <w:vAlign w:val="center"/>
          </w:tcPr>
          <w:p>
            <w:pPr>
              <w:pStyle w:val="TableContents"/>
              <w:bidi w:val="0"/>
              <w:spacing w:before="0" w:after="283"/>
              <w:jc w:val="left"/>
              <w:rPr>
                <w:b/>
              </w:rPr>
            </w:pPr>
            <w:r>
              <w:rPr>
                <w:b/>
              </w:rPr>
              <w:t>Leases</w:t>
            </w:r>
          </w:p>
        </w:tc>
        <w:tc>
          <w:tcPr>
            <w:tcW w:w="2406" w:type="dxa"/>
            <w:tcBorders>
              <w:bottom w:val="single" w:sz="2" w:space="0" w:color="000000"/>
            </w:tcBorders>
            <w:tcMar>
              <w:bottom w:w="28" w:type="dxa"/>
            </w:tcMar>
            <w:vAlign w:val="center"/>
          </w:tcPr>
          <w:p>
            <w:pPr>
              <w:pStyle w:val="TableContents"/>
              <w:bidi w:val="0"/>
              <w:spacing w:before="0" w:after="283"/>
              <w:jc w:val="left"/>
              <w:rPr>
                <w:b/>
              </w:rPr>
            </w:pPr>
            <w:r>
              <w:rPr>
                <w:b/>
              </w:rPr>
              <w:t>Classification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27" w:type="dxa"/>
            <w:tcBorders>
              <w:bottom w:val="single" w:sz="2" w:space="0" w:color="000000"/>
            </w:tcBorders>
            <w:tcMar>
              <w:bottom w:w="28" w:type="dxa"/>
            </w:tcMar>
            <w:vAlign w:val="center"/>
          </w:tcPr>
          <w:p>
            <w:pPr>
              <w:pStyle w:val="TableContents"/>
              <w:bidi w:val="0"/>
              <w:spacing w:before="0" w:after="283"/>
              <w:jc w:val="center"/>
              <w:rPr>
                <w:b/>
              </w:rPr>
            </w:pPr>
            <w:r>
              <w:rPr>
                <w:b/>
              </w:rPr>
              <w:t>March 28, 2026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42" w:type="dxa"/>
            <w:tcBorders>
              <w:bottom w:val="single" w:sz="2" w:space="0" w:color="000000"/>
            </w:tcBorders>
            <w:tcMar>
              <w:bottom w:w="28" w:type="dxa"/>
            </w:tcMar>
            <w:vAlign w:val="center"/>
          </w:tcPr>
          <w:p>
            <w:pPr>
              <w:pStyle w:val="TableContents"/>
              <w:bidi w:val="0"/>
              <w:spacing w:before="0" w:after="283"/>
              <w:jc w:val="center"/>
              <w:rPr/>
            </w:pPr>
            <w:r>
              <w:rPr/>
              <w:t>September 27, 2025</w:t>
            </w:r>
          </w:p>
        </w:tc>
        <w:tc>
          <w:tcPr>
            <w:tcW w:w="13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83" w:type="dxa"/>
            <w:tcBorders/>
            <w:vAlign w:val="center"/>
          </w:tcPr>
          <w:p>
            <w:pPr>
              <w:pStyle w:val="TableContents"/>
              <w:bidi w:val="0"/>
              <w:spacing w:before="0" w:after="283"/>
              <w:jc w:val="left"/>
              <w:rPr/>
            </w:pPr>
            <w:r>
              <w:rPr/>
              <w:t>Operating leases:</w:t>
            </w:r>
          </w:p>
        </w:tc>
        <w:tc>
          <w:tcPr>
            <w:tcW w:w="240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3483" w:type="dxa"/>
            <w:tcBorders/>
            <w:vAlign w:val="center"/>
          </w:tcPr>
          <w:p>
            <w:pPr>
              <w:pStyle w:val="TableContents"/>
              <w:bidi w:val="0"/>
              <w:spacing w:before="0" w:after="283"/>
              <w:jc w:val="left"/>
              <w:rPr/>
            </w:pPr>
            <w:r>
              <w:rPr/>
              <w:t>Operating lease right-of-use assets</w:t>
            </w:r>
          </w:p>
        </w:tc>
        <w:tc>
          <w:tcPr>
            <w:tcW w:w="2406" w:type="dxa"/>
            <w:tcBorders/>
            <w:vAlign w:val="center"/>
          </w:tcPr>
          <w:p>
            <w:pPr>
              <w:pStyle w:val="TableContents"/>
              <w:bidi w:val="0"/>
              <w:spacing w:before="0" w:after="283"/>
              <w:jc w:val="left"/>
              <w:rPr/>
            </w:pPr>
            <w:r>
              <w:rPr/>
              <w:t>Right-of-use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627" w:type="dxa"/>
            <w:tcBorders/>
            <w:vAlign w:val="center"/>
          </w:tcPr>
          <w:p>
            <w:pPr>
              <w:pStyle w:val="TableContents"/>
              <w:bidi w:val="0"/>
              <w:spacing w:before="0" w:after="283"/>
              <w:jc w:val="right"/>
              <w:rPr>
                <w:b/>
              </w:rPr>
            </w:pPr>
            <w:r>
              <w:rPr>
                <w:b/>
              </w:rPr>
              <w:t>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42" w:type="dxa"/>
            <w:tcBorders/>
            <w:vAlign w:val="center"/>
          </w:tcPr>
          <w:p>
            <w:pPr>
              <w:pStyle w:val="TableContents"/>
              <w:bidi w:val="0"/>
              <w:spacing w:before="0" w:after="283"/>
              <w:jc w:val="right"/>
              <w:rPr/>
            </w:pPr>
            <w:r>
              <w:rPr/>
              <w:t>62</w:t>
            </w:r>
          </w:p>
        </w:tc>
        <w:tc>
          <w:tcPr>
            <w:tcW w:w="137" w:type="dxa"/>
            <w:tcBorders/>
            <w:vAlign w:val="center"/>
          </w:tcPr>
          <w:p>
            <w:pPr>
              <w:pStyle w:val="TableContents"/>
              <w:bidi w:val="0"/>
              <w:spacing w:before="0" w:after="283"/>
              <w:jc w:val="left"/>
              <w:rPr/>
            </w:pPr>
            <w:r>
              <w:rPr/>
              <w:t> </w:t>
            </w:r>
          </w:p>
        </w:tc>
      </w:tr>
      <w:tr>
        <w:trPr/>
        <w:tc>
          <w:tcPr>
            <w:tcW w:w="3483" w:type="dxa"/>
            <w:tcBorders/>
            <w:vAlign w:val="center"/>
          </w:tcPr>
          <w:p>
            <w:pPr>
              <w:pStyle w:val="TableContents"/>
              <w:bidi w:val="0"/>
              <w:spacing w:before="0" w:after="283"/>
              <w:jc w:val="left"/>
              <w:rPr/>
            </w:pPr>
            <w:r>
              <w:rPr/>
              <w:t>Current operating lease liabilities</w:t>
            </w:r>
          </w:p>
        </w:tc>
        <w:tc>
          <w:tcPr>
            <w:tcW w:w="2406" w:type="dxa"/>
            <w:tcBorders/>
            <w:vAlign w:val="center"/>
          </w:tcPr>
          <w:p>
            <w:pPr>
              <w:pStyle w:val="TableContents"/>
              <w:bidi w:val="0"/>
              <w:spacing w:before="0" w:after="283"/>
              <w:jc w:val="left"/>
              <w:rPr/>
            </w:pPr>
            <w:r>
              <w:rPr/>
              <w:t>Other 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b/>
              </w:rPr>
            </w:pPr>
            <w:r>
              <w:rPr>
                <w:b/>
              </w:rPr>
              <w:t>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right"/>
              <w:rPr/>
            </w:pPr>
            <w:r>
              <w:rPr/>
              <w:t>18</w:t>
            </w:r>
          </w:p>
        </w:tc>
        <w:tc>
          <w:tcPr>
            <w:tcW w:w="137" w:type="dxa"/>
            <w:tcBorders/>
            <w:vAlign w:val="center"/>
          </w:tcPr>
          <w:p>
            <w:pPr>
              <w:pStyle w:val="TableContents"/>
              <w:bidi w:val="0"/>
              <w:spacing w:before="0" w:after="283"/>
              <w:jc w:val="left"/>
              <w:rPr/>
            </w:pPr>
            <w:r>
              <w:rPr/>
              <w:t> </w:t>
            </w:r>
          </w:p>
        </w:tc>
      </w:tr>
      <w:tr>
        <w:trPr/>
        <w:tc>
          <w:tcPr>
            <w:tcW w:w="3483" w:type="dxa"/>
            <w:tcBorders/>
            <w:vAlign w:val="center"/>
          </w:tcPr>
          <w:p>
            <w:pPr>
              <w:pStyle w:val="TableContents"/>
              <w:bidi w:val="0"/>
              <w:spacing w:before="0" w:after="283"/>
              <w:jc w:val="left"/>
              <w:rPr/>
            </w:pPr>
            <w:r>
              <w:rPr/>
              <w:t>Noncurrent operating lease liabilities</w:t>
            </w:r>
          </w:p>
        </w:tc>
        <w:tc>
          <w:tcPr>
            <w:tcW w:w="2406"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27" w:type="dxa"/>
            <w:tcBorders/>
            <w:vAlign w:val="center"/>
          </w:tcPr>
          <w:p>
            <w:pPr>
              <w:pStyle w:val="TableContents"/>
              <w:bidi w:val="0"/>
              <w:spacing w:before="0" w:after="283"/>
              <w:jc w:val="right"/>
              <w:rPr>
                <w:b/>
              </w:rPr>
            </w:pPr>
            <w:r>
              <w:rPr>
                <w:b/>
              </w:rPr>
              <w:t>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right"/>
              <w:rPr/>
            </w:pPr>
            <w:r>
              <w:rPr/>
              <w:t>45</w:t>
            </w:r>
          </w:p>
        </w:tc>
        <w:tc>
          <w:tcPr>
            <w:tcW w:w="13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9</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b/>
          <w:sz w:val="18"/>
        </w:rPr>
      </w:pPr>
      <w:r>
        <w:rPr>
          <w:rFonts w:ascii="Times New Roman" w:hAnsi="Times New Roman"/>
          <w:b/>
          <w:sz w:val="18"/>
        </w:rPr>
        <w:t>5.         Long-Term Debt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Long-term debt consists of the following:</w:t>
      </w:r>
      <w:r>
        <w:rPr>
          <w:rFonts w:ascii="Times New Roman" w:hAnsi="Times New Roman"/>
          <w:sz w:val="1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28" w:type="dxa"/>
          <w:right w:w="0" w:type="dxa"/>
        </w:tblCellMar>
      </w:tblPr>
      <w:tblGrid>
        <w:gridCol w:w="4011"/>
        <w:gridCol w:w="90"/>
        <w:gridCol w:w="1589"/>
        <w:gridCol w:w="90"/>
        <w:gridCol w:w="170"/>
        <w:gridCol w:w="1631"/>
        <w:gridCol w:w="185"/>
        <w:gridCol w:w="90"/>
        <w:gridCol w:w="170"/>
        <w:gridCol w:w="1946"/>
        <w:gridCol w:w="233"/>
      </w:tblGrid>
      <w:tr>
        <w:trPr/>
        <w:tc>
          <w:tcPr>
            <w:tcW w:w="4011" w:type="dxa"/>
            <w:tcBorders>
              <w:bottom w:val="single" w:sz="2" w:space="0" w:color="000000"/>
            </w:tcBorders>
            <w:vAlign w:val="center"/>
          </w:tcPr>
          <w:p>
            <w:pPr>
              <w:pStyle w:val="TableContents"/>
              <w:bidi w:val="0"/>
              <w:spacing w:before="0" w:after="283"/>
              <w:jc w:val="left"/>
              <w:rPr>
                <w:b/>
              </w:rPr>
            </w:pPr>
            <w:r>
              <w:rPr>
                <w:b/>
              </w:rPr>
              <w:t>Facility</w:t>
            </w:r>
          </w:p>
        </w:tc>
        <w:tc>
          <w:tcPr>
            <w:tcW w:w="90" w:type="dxa"/>
            <w:tcBorders/>
            <w:tcMar>
              <w:bottom w:w="0" w:type="dxa"/>
            </w:tcMar>
            <w:vAlign w:val="center"/>
          </w:tcPr>
          <w:p>
            <w:pPr>
              <w:pStyle w:val="TableContents"/>
              <w:bidi w:val="0"/>
              <w:spacing w:before="0" w:after="283"/>
              <w:jc w:val="left"/>
              <w:rPr/>
            </w:pPr>
            <w:r>
              <w:rPr/>
              <w:t> </w:t>
            </w:r>
          </w:p>
        </w:tc>
        <w:tc>
          <w:tcPr>
            <w:tcW w:w="1589" w:type="dxa"/>
            <w:tcBorders>
              <w:bottom w:val="single" w:sz="2" w:space="0" w:color="000000"/>
            </w:tcBorders>
            <w:vAlign w:val="center"/>
          </w:tcPr>
          <w:p>
            <w:pPr>
              <w:pStyle w:val="TableContents"/>
              <w:bidi w:val="0"/>
              <w:spacing w:before="0" w:after="283"/>
              <w:jc w:val="left"/>
              <w:rPr>
                <w:b/>
              </w:rPr>
            </w:pPr>
            <w:r>
              <w:rPr>
                <w:b/>
              </w:rPr>
              <w:t>Maturity Date</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2" w:space="0" w:color="000000"/>
            </w:tcBorders>
            <w:vAlign w:val="center"/>
          </w:tcPr>
          <w:p>
            <w:pPr>
              <w:pStyle w:val="TableContents"/>
              <w:bidi w:val="0"/>
              <w:spacing w:before="0" w:after="283"/>
              <w:jc w:val="left"/>
              <w:rPr/>
            </w:pPr>
            <w:r>
              <w:rPr/>
              <w:t> </w:t>
            </w:r>
          </w:p>
        </w:tc>
        <w:tc>
          <w:tcPr>
            <w:tcW w:w="1631" w:type="dxa"/>
            <w:tcBorders>
              <w:bottom w:val="single" w:sz="2" w:space="0" w:color="000000"/>
            </w:tcBorders>
            <w:vAlign w:val="center"/>
          </w:tcPr>
          <w:p>
            <w:pPr>
              <w:pStyle w:val="TableContents"/>
              <w:bidi w:val="0"/>
              <w:spacing w:before="0" w:after="283"/>
              <w:jc w:val="center"/>
              <w:rPr>
                <w:b/>
              </w:rPr>
            </w:pPr>
            <w:r>
              <w:rPr>
                <w:b/>
              </w:rPr>
              <w:t>March 28, 2026</w:t>
            </w:r>
          </w:p>
        </w:tc>
        <w:tc>
          <w:tcPr>
            <w:tcW w:w="185" w:type="dxa"/>
            <w:tcBorders>
              <w:bottom w:val="single" w:sz="2" w:space="0" w:color="000000"/>
            </w:tcBorders>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2" w:space="0" w:color="000000"/>
            </w:tcBorders>
            <w:vAlign w:val="center"/>
          </w:tcPr>
          <w:p>
            <w:pPr>
              <w:pStyle w:val="TableContents"/>
              <w:bidi w:val="0"/>
              <w:spacing w:before="0" w:after="283"/>
              <w:jc w:val="left"/>
              <w:rPr/>
            </w:pPr>
            <w:r>
              <w:rPr/>
              <w:t> </w:t>
            </w:r>
          </w:p>
        </w:tc>
        <w:tc>
          <w:tcPr>
            <w:tcW w:w="1946" w:type="dxa"/>
            <w:tcBorders>
              <w:bottom w:val="single" w:sz="2" w:space="0" w:color="000000"/>
            </w:tcBorders>
            <w:vAlign w:val="center"/>
          </w:tcPr>
          <w:p>
            <w:pPr>
              <w:pStyle w:val="TableContents"/>
              <w:bidi w:val="0"/>
              <w:spacing w:before="0" w:after="283"/>
              <w:jc w:val="center"/>
              <w:rPr/>
            </w:pPr>
            <w:r>
              <w:rPr/>
              <w:t>September 27, 2025</w:t>
            </w:r>
          </w:p>
        </w:tc>
        <w:tc>
          <w:tcPr>
            <w:tcW w:w="233" w:type="dxa"/>
            <w:tcBorders>
              <w:bottom w:val="single" w:sz="2" w:space="0" w:color="000000"/>
            </w:tcBorders>
            <w:vAlign w:val="center"/>
          </w:tcPr>
          <w:p>
            <w:pPr>
              <w:pStyle w:val="TableContents"/>
              <w:bidi w:val="0"/>
              <w:spacing w:before="0" w:after="283"/>
              <w:jc w:val="left"/>
              <w:rPr/>
            </w:pPr>
            <w:r>
              <w:rPr/>
              <w:t> </w:t>
            </w:r>
          </w:p>
        </w:tc>
      </w:tr>
      <w:tr>
        <w:trPr/>
        <w:tc>
          <w:tcPr>
            <w:tcW w:w="4011" w:type="dxa"/>
            <w:tcBorders/>
            <w:tcMar>
              <w:bottom w:w="0" w:type="dxa"/>
            </w:tcMar>
            <w:vAlign w:val="center"/>
          </w:tcPr>
          <w:p>
            <w:pPr>
              <w:pStyle w:val="TableContents"/>
              <w:bidi w:val="0"/>
              <w:spacing w:before="0" w:after="283"/>
              <w:jc w:val="left"/>
              <w:rPr/>
            </w:pPr>
            <w:r>
              <w:rPr/>
              <w:t>Term loan</w:t>
            </w:r>
          </w:p>
        </w:tc>
        <w:tc>
          <w:tcPr>
            <w:tcW w:w="90" w:type="dxa"/>
            <w:tcBorders/>
            <w:tcMar>
              <w:bottom w:w="0" w:type="dxa"/>
            </w:tcMar>
            <w:vAlign w:val="center"/>
          </w:tcPr>
          <w:p>
            <w:pPr>
              <w:pStyle w:val="TableContents"/>
              <w:bidi w:val="0"/>
              <w:spacing w:before="0" w:after="283"/>
              <w:jc w:val="left"/>
              <w:rPr/>
            </w:pPr>
            <w:r>
              <w:rPr/>
              <w:t> </w:t>
            </w:r>
          </w:p>
        </w:tc>
        <w:tc>
          <w:tcPr>
            <w:tcW w:w="1589" w:type="dxa"/>
            <w:tcBorders/>
            <w:tcMar>
              <w:bottom w:w="0" w:type="dxa"/>
            </w:tcMar>
            <w:vAlign w:val="center"/>
          </w:tcPr>
          <w:p>
            <w:pPr>
              <w:pStyle w:val="TableContents"/>
              <w:bidi w:val="0"/>
              <w:spacing w:before="0" w:after="0"/>
              <w:jc w:val="left"/>
              <w:rPr/>
            </w:pPr>
            <w:r>
              <w:rPr/>
              <w:t>November 2031</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b/>
              </w:rPr>
            </w:pPr>
            <w:r>
              <w:rPr>
                <w:b/>
              </w:rPr>
              <w:t>$</w:t>
            </w:r>
          </w:p>
        </w:tc>
        <w:tc>
          <w:tcPr>
            <w:tcW w:w="1631" w:type="dxa"/>
            <w:tcBorders/>
            <w:tcMar>
              <w:bottom w:w="0" w:type="dxa"/>
            </w:tcMar>
            <w:vAlign w:val="center"/>
          </w:tcPr>
          <w:p>
            <w:pPr>
              <w:pStyle w:val="TableContents"/>
              <w:bidi w:val="0"/>
              <w:spacing w:before="0" w:after="283"/>
              <w:jc w:val="right"/>
              <w:rPr>
                <w:b/>
              </w:rPr>
            </w:pPr>
            <w:r>
              <w:rPr>
                <w:b/>
              </w:rPr>
              <w:t>706</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w:t>
            </w:r>
          </w:p>
        </w:tc>
        <w:tc>
          <w:tcPr>
            <w:tcW w:w="1946" w:type="dxa"/>
            <w:tcBorders/>
            <w:tcMar>
              <w:bottom w:w="0" w:type="dxa"/>
            </w:tcMar>
            <w:vAlign w:val="center"/>
          </w:tcPr>
          <w:p>
            <w:pPr>
              <w:pStyle w:val="TableContents"/>
              <w:bidi w:val="0"/>
              <w:spacing w:before="0" w:after="283"/>
              <w:jc w:val="right"/>
              <w:rPr/>
            </w:pPr>
            <w:r>
              <w:rPr/>
              <w:t>731</w:t>
            </w:r>
          </w:p>
        </w:tc>
        <w:tc>
          <w:tcPr>
            <w:tcW w:w="233" w:type="dxa"/>
            <w:tcBorders/>
            <w:tcMar>
              <w:bottom w:w="0" w:type="dxa"/>
            </w:tcMar>
            <w:vAlign w:val="center"/>
          </w:tcPr>
          <w:p>
            <w:pPr>
              <w:pStyle w:val="TableContents"/>
              <w:bidi w:val="0"/>
              <w:spacing w:before="0" w:after="283"/>
              <w:jc w:val="left"/>
              <w:rPr/>
            </w:pPr>
            <w:r>
              <w:rPr/>
              <w:t> </w:t>
            </w:r>
          </w:p>
        </w:tc>
      </w:tr>
      <w:tr>
        <w:trPr/>
        <w:tc>
          <w:tcPr>
            <w:tcW w:w="4011" w:type="dxa"/>
            <w:tcBorders/>
            <w:tcMar>
              <w:bottom w:w="0" w:type="dxa"/>
            </w:tcMar>
            <w:vAlign w:val="center"/>
          </w:tcPr>
          <w:p>
            <w:pPr>
              <w:pStyle w:val="TableContents"/>
              <w:bidi w:val="0"/>
              <w:spacing w:before="0" w:after="283"/>
              <w:jc w:val="left"/>
              <w:rPr/>
            </w:pPr>
            <w:r>
              <w:rPr/>
              <w:t>Revolving credit facility</w:t>
            </w:r>
          </w:p>
        </w:tc>
        <w:tc>
          <w:tcPr>
            <w:tcW w:w="90" w:type="dxa"/>
            <w:tcBorders/>
            <w:tcMar>
              <w:bottom w:w="0" w:type="dxa"/>
            </w:tcMar>
            <w:vAlign w:val="center"/>
          </w:tcPr>
          <w:p>
            <w:pPr>
              <w:pStyle w:val="TableContents"/>
              <w:bidi w:val="0"/>
              <w:spacing w:before="0" w:after="283"/>
              <w:jc w:val="left"/>
              <w:rPr/>
            </w:pPr>
            <w:r>
              <w:rPr/>
              <w:t> </w:t>
            </w:r>
          </w:p>
        </w:tc>
        <w:tc>
          <w:tcPr>
            <w:tcW w:w="1589" w:type="dxa"/>
            <w:tcBorders/>
            <w:tcMar>
              <w:bottom w:w="0" w:type="dxa"/>
            </w:tcMar>
            <w:vAlign w:val="center"/>
          </w:tcPr>
          <w:p>
            <w:pPr>
              <w:pStyle w:val="TableContents"/>
              <w:bidi w:val="0"/>
              <w:spacing w:before="0" w:after="0"/>
              <w:jc w:val="left"/>
              <w:rPr/>
            </w:pPr>
            <w:r>
              <w:rPr/>
              <w:t>November 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631" w:type="dxa"/>
            <w:tcBorders/>
            <w:tcMar>
              <w:bottom w:w="0" w:type="dxa"/>
            </w:tcMar>
            <w:vAlign w:val="center"/>
          </w:tcPr>
          <w:p>
            <w:pPr>
              <w:pStyle w:val="TableContents"/>
              <w:bidi w:val="0"/>
              <w:spacing w:before="0" w:after="283"/>
              <w:jc w:val="right"/>
              <w:rPr/>
            </w:pPr>
            <w:r>
              <w:rPr/>
              <w:t xml:space="preserve">— </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946" w:type="dxa"/>
            <w:tcBorders/>
            <w:tcMar>
              <w:bottom w:w="0" w:type="dxa"/>
            </w:tcMar>
            <w:vAlign w:val="center"/>
          </w:tcPr>
          <w:p>
            <w:pPr>
              <w:pStyle w:val="TableContents"/>
              <w:bidi w:val="0"/>
              <w:spacing w:before="0" w:after="283"/>
              <w:jc w:val="right"/>
              <w:rPr/>
            </w:pPr>
            <w:r>
              <w:rPr/>
              <w:t>—</w:t>
            </w:r>
          </w:p>
        </w:tc>
        <w:tc>
          <w:tcPr>
            <w:tcW w:w="233" w:type="dxa"/>
            <w:tcBorders/>
            <w:tcMar>
              <w:bottom w:w="0" w:type="dxa"/>
            </w:tcMar>
            <w:vAlign w:val="center"/>
          </w:tcPr>
          <w:p>
            <w:pPr>
              <w:pStyle w:val="TableContents"/>
              <w:bidi w:val="0"/>
              <w:spacing w:before="0" w:after="283"/>
              <w:jc w:val="left"/>
              <w:rPr/>
            </w:pPr>
            <w:r>
              <w:rPr/>
              <w:t> </w:t>
            </w:r>
          </w:p>
        </w:tc>
      </w:tr>
      <w:tr>
        <w:trPr/>
        <w:tc>
          <w:tcPr>
            <w:tcW w:w="4011" w:type="dxa"/>
            <w:tcBorders/>
            <w:tcMar>
              <w:bottom w:w="0" w:type="dxa"/>
            </w:tcMar>
            <w:vAlign w:val="center"/>
          </w:tcPr>
          <w:p>
            <w:pPr>
              <w:pStyle w:val="TableContents"/>
              <w:bidi w:val="0"/>
              <w:spacing w:before="0" w:after="283"/>
              <w:jc w:val="left"/>
              <w:rPr/>
            </w:pPr>
            <w:r>
              <w:rPr/>
              <w:t>4.75% First Priority Senior Secured Notes</w:t>
            </w:r>
          </w:p>
        </w:tc>
        <w:tc>
          <w:tcPr>
            <w:tcW w:w="90" w:type="dxa"/>
            <w:tcBorders/>
            <w:tcMar>
              <w:bottom w:w="0" w:type="dxa"/>
            </w:tcMar>
            <w:vAlign w:val="center"/>
          </w:tcPr>
          <w:p>
            <w:pPr>
              <w:pStyle w:val="TableContents"/>
              <w:bidi w:val="0"/>
              <w:spacing w:before="0" w:after="283"/>
              <w:jc w:val="left"/>
              <w:rPr/>
            </w:pPr>
            <w:r>
              <w:rPr/>
              <w:t> </w:t>
            </w:r>
          </w:p>
        </w:tc>
        <w:tc>
          <w:tcPr>
            <w:tcW w:w="1589" w:type="dxa"/>
            <w:tcBorders/>
            <w:tcMar>
              <w:bottom w:w="0" w:type="dxa"/>
            </w:tcMar>
            <w:vAlign w:val="center"/>
          </w:tcPr>
          <w:p>
            <w:pPr>
              <w:pStyle w:val="TableContents"/>
              <w:bidi w:val="0"/>
              <w:spacing w:before="0" w:after="0"/>
              <w:jc w:val="left"/>
              <w:rPr/>
            </w:pPr>
            <w:r>
              <w:rPr/>
              <w:t>October 2029</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631" w:type="dxa"/>
            <w:tcBorders/>
            <w:tcMar>
              <w:bottom w:w="0" w:type="dxa"/>
            </w:tcMar>
            <w:vAlign w:val="center"/>
          </w:tcPr>
          <w:p>
            <w:pPr>
              <w:pStyle w:val="TableContents"/>
              <w:bidi w:val="0"/>
              <w:spacing w:before="0" w:after="283"/>
              <w:jc w:val="right"/>
              <w:rPr>
                <w:b/>
              </w:rPr>
            </w:pPr>
            <w:r>
              <w:rPr>
                <w:b/>
              </w:rPr>
              <w:t>500</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946" w:type="dxa"/>
            <w:tcBorders/>
            <w:tcMar>
              <w:bottom w:w="0" w:type="dxa"/>
            </w:tcMar>
            <w:vAlign w:val="center"/>
          </w:tcPr>
          <w:p>
            <w:pPr>
              <w:pStyle w:val="TableContents"/>
              <w:bidi w:val="0"/>
              <w:spacing w:before="0" w:after="283"/>
              <w:jc w:val="right"/>
              <w:rPr/>
            </w:pPr>
            <w:r>
              <w:rPr/>
              <w:t>500</w:t>
            </w:r>
          </w:p>
        </w:tc>
        <w:tc>
          <w:tcPr>
            <w:tcW w:w="233" w:type="dxa"/>
            <w:tcBorders/>
            <w:tcMar>
              <w:bottom w:w="0" w:type="dxa"/>
            </w:tcMar>
            <w:vAlign w:val="center"/>
          </w:tcPr>
          <w:p>
            <w:pPr>
              <w:pStyle w:val="TableContents"/>
              <w:bidi w:val="0"/>
              <w:spacing w:before="0" w:after="283"/>
              <w:jc w:val="left"/>
              <w:rPr/>
            </w:pPr>
            <w:r>
              <w:rPr/>
              <w:t> </w:t>
            </w:r>
          </w:p>
        </w:tc>
      </w:tr>
      <w:tr>
        <w:trPr/>
        <w:tc>
          <w:tcPr>
            <w:tcW w:w="4011" w:type="dxa"/>
            <w:tcBorders/>
            <w:tcMar>
              <w:bottom w:w="0" w:type="dxa"/>
            </w:tcMar>
            <w:vAlign w:val="center"/>
          </w:tcPr>
          <w:p>
            <w:pPr>
              <w:pStyle w:val="TableContents"/>
              <w:bidi w:val="0"/>
              <w:spacing w:before="0" w:after="283"/>
              <w:jc w:val="left"/>
              <w:rPr/>
            </w:pPr>
            <w:r>
              <w:rPr/>
              <w:t>7.25% First Priority Senior Secured Notes</w:t>
            </w:r>
          </w:p>
        </w:tc>
        <w:tc>
          <w:tcPr>
            <w:tcW w:w="90" w:type="dxa"/>
            <w:tcBorders/>
            <w:tcMar>
              <w:bottom w:w="0" w:type="dxa"/>
            </w:tcMar>
            <w:vAlign w:val="center"/>
          </w:tcPr>
          <w:p>
            <w:pPr>
              <w:pStyle w:val="TableContents"/>
              <w:bidi w:val="0"/>
              <w:spacing w:before="0" w:after="283"/>
              <w:jc w:val="left"/>
              <w:rPr/>
            </w:pPr>
            <w:r>
              <w:rPr/>
              <w:t> </w:t>
            </w:r>
          </w:p>
        </w:tc>
        <w:tc>
          <w:tcPr>
            <w:tcW w:w="1589" w:type="dxa"/>
            <w:tcBorders/>
            <w:tcMar>
              <w:bottom w:w="0" w:type="dxa"/>
            </w:tcMar>
            <w:vAlign w:val="center"/>
          </w:tcPr>
          <w:p>
            <w:pPr>
              <w:pStyle w:val="TableContents"/>
              <w:bidi w:val="0"/>
              <w:spacing w:before="0" w:after="0"/>
              <w:jc w:val="left"/>
              <w:rPr/>
            </w:pPr>
            <w:r>
              <w:rPr/>
              <w:t>November 2031</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631" w:type="dxa"/>
            <w:tcBorders/>
            <w:tcMar>
              <w:bottom w:w="0" w:type="dxa"/>
            </w:tcMar>
            <w:vAlign w:val="center"/>
          </w:tcPr>
          <w:p>
            <w:pPr>
              <w:pStyle w:val="TableContents"/>
              <w:bidi w:val="0"/>
              <w:spacing w:before="0" w:after="283"/>
              <w:jc w:val="right"/>
              <w:rPr>
                <w:b/>
              </w:rPr>
            </w:pPr>
            <w:r>
              <w:rPr>
                <w:b/>
              </w:rPr>
              <w:t>763</w:t>
            </w:r>
          </w:p>
        </w:tc>
        <w:tc>
          <w:tcPr>
            <w:tcW w:w="1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tcMar>
              <w:bottom w:w="0" w:type="dxa"/>
            </w:tcMar>
            <w:vAlign w:val="center"/>
          </w:tcPr>
          <w:p>
            <w:pPr>
              <w:pStyle w:val="TableContents"/>
              <w:bidi w:val="0"/>
              <w:spacing w:before="0" w:after="283"/>
              <w:jc w:val="left"/>
              <w:rPr/>
            </w:pPr>
            <w:r>
              <w:rPr/>
              <w:t> </w:t>
            </w:r>
          </w:p>
        </w:tc>
        <w:tc>
          <w:tcPr>
            <w:tcW w:w="1946" w:type="dxa"/>
            <w:tcBorders/>
            <w:tcMar>
              <w:bottom w:w="0" w:type="dxa"/>
            </w:tcMar>
            <w:vAlign w:val="center"/>
          </w:tcPr>
          <w:p>
            <w:pPr>
              <w:pStyle w:val="TableContents"/>
              <w:bidi w:val="0"/>
              <w:spacing w:before="0" w:after="283"/>
              <w:jc w:val="right"/>
              <w:rPr/>
            </w:pPr>
            <w:r>
              <w:rPr/>
              <w:t>800</w:t>
            </w:r>
          </w:p>
        </w:tc>
        <w:tc>
          <w:tcPr>
            <w:tcW w:w="233" w:type="dxa"/>
            <w:tcBorders/>
            <w:tcMar>
              <w:bottom w:w="0" w:type="dxa"/>
            </w:tcMar>
            <w:vAlign w:val="center"/>
          </w:tcPr>
          <w:p>
            <w:pPr>
              <w:pStyle w:val="TableContents"/>
              <w:bidi w:val="0"/>
              <w:spacing w:before="0" w:after="283"/>
              <w:jc w:val="left"/>
              <w:rPr/>
            </w:pPr>
            <w:r>
              <w:rPr/>
              <w:t> </w:t>
            </w:r>
          </w:p>
        </w:tc>
      </w:tr>
      <w:tr>
        <w:trPr/>
        <w:tc>
          <w:tcPr>
            <w:tcW w:w="4011" w:type="dxa"/>
            <w:tcBorders/>
            <w:tcMar>
              <w:bottom w:w="0" w:type="dxa"/>
            </w:tcMar>
            <w:vAlign w:val="center"/>
          </w:tcPr>
          <w:p>
            <w:pPr>
              <w:pStyle w:val="TableContents"/>
              <w:bidi w:val="0"/>
              <w:spacing w:before="0" w:after="283"/>
              <w:jc w:val="left"/>
              <w:rPr/>
            </w:pPr>
            <w:r>
              <w:rPr/>
              <w:t>Debt discounts, deferred fees and other</w:t>
            </w:r>
          </w:p>
        </w:tc>
        <w:tc>
          <w:tcPr>
            <w:tcW w:w="90" w:type="dxa"/>
            <w:tcBorders/>
            <w:tcMar>
              <w:bottom w:w="0" w:type="dxa"/>
            </w:tcMar>
            <w:vAlign w:val="center"/>
          </w:tcPr>
          <w:p>
            <w:pPr>
              <w:pStyle w:val="TableContents"/>
              <w:bidi w:val="0"/>
              <w:spacing w:before="0" w:after="283"/>
              <w:jc w:val="left"/>
              <w:rPr/>
            </w:pPr>
            <w:r>
              <w:rPr/>
              <w:t> </w:t>
            </w:r>
          </w:p>
        </w:tc>
        <w:tc>
          <w:tcPr>
            <w:tcW w:w="158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2" w:space="0" w:color="000000"/>
            </w:tcBorders>
            <w:vAlign w:val="center"/>
          </w:tcPr>
          <w:p>
            <w:pPr>
              <w:pStyle w:val="TableContents"/>
              <w:bidi w:val="0"/>
              <w:spacing w:before="0" w:after="283"/>
              <w:jc w:val="left"/>
              <w:rPr/>
            </w:pPr>
            <w:r>
              <w:rPr/>
              <w:t> </w:t>
            </w:r>
          </w:p>
        </w:tc>
        <w:tc>
          <w:tcPr>
            <w:tcW w:w="1631" w:type="dxa"/>
            <w:tcBorders>
              <w:bottom w:val="single" w:sz="2" w:space="0" w:color="000000"/>
            </w:tcBorders>
            <w:vAlign w:val="center"/>
          </w:tcPr>
          <w:p>
            <w:pPr>
              <w:pStyle w:val="TableContents"/>
              <w:bidi w:val="0"/>
              <w:spacing w:before="0" w:after="283"/>
              <w:jc w:val="right"/>
              <w:rPr>
                <w:b/>
              </w:rPr>
            </w:pPr>
            <w:r>
              <w:rPr>
                <w:b/>
              </w:rPr>
              <w:t>(70</w:t>
            </w:r>
          </w:p>
        </w:tc>
        <w:tc>
          <w:tcPr>
            <w:tcW w:w="185" w:type="dxa"/>
            <w:tcBorders>
              <w:bottom w:val="single" w:sz="2" w:space="0" w:color="000000"/>
            </w:tcBorders>
            <w:vAlign w:val="center"/>
          </w:tcPr>
          <w:p>
            <w:pPr>
              <w:pStyle w:val="TableContents"/>
              <w:bidi w:val="0"/>
              <w:spacing w:before="0" w:after="283"/>
              <w:jc w:val="left"/>
              <w:rPr>
                <w:b/>
              </w:rPr>
            </w:pPr>
            <w:r>
              <w:rPr>
                <w:b/>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single" w:sz="2" w:space="0" w:color="000000"/>
            </w:tcBorders>
            <w:vAlign w:val="center"/>
          </w:tcPr>
          <w:p>
            <w:pPr>
              <w:pStyle w:val="TableContents"/>
              <w:bidi w:val="0"/>
              <w:spacing w:before="0" w:after="283"/>
              <w:jc w:val="left"/>
              <w:rPr/>
            </w:pPr>
            <w:r>
              <w:rPr/>
              <w:t> </w:t>
            </w:r>
          </w:p>
        </w:tc>
        <w:tc>
          <w:tcPr>
            <w:tcW w:w="1946" w:type="dxa"/>
            <w:tcBorders>
              <w:bottom w:val="single" w:sz="2" w:space="0" w:color="000000"/>
            </w:tcBorders>
            <w:vAlign w:val="center"/>
          </w:tcPr>
          <w:p>
            <w:pPr>
              <w:pStyle w:val="TableContents"/>
              <w:bidi w:val="0"/>
              <w:spacing w:before="0" w:after="283"/>
              <w:jc w:val="right"/>
              <w:rPr/>
            </w:pPr>
            <w:r>
              <w:rPr/>
              <w:t>(79</w:t>
            </w:r>
          </w:p>
        </w:tc>
        <w:tc>
          <w:tcPr>
            <w:tcW w:w="233" w:type="dxa"/>
            <w:tcBorders>
              <w:bottom w:val="single" w:sz="2" w:space="0" w:color="000000"/>
            </w:tcBorders>
            <w:vAlign w:val="center"/>
          </w:tcPr>
          <w:p>
            <w:pPr>
              <w:pStyle w:val="TableContents"/>
              <w:bidi w:val="0"/>
              <w:spacing w:before="0" w:after="283"/>
              <w:jc w:val="left"/>
              <w:rPr/>
            </w:pPr>
            <w:r>
              <w:rPr/>
              <w:t>) </w:t>
            </w:r>
          </w:p>
        </w:tc>
      </w:tr>
      <w:tr>
        <w:trPr/>
        <w:tc>
          <w:tcPr>
            <w:tcW w:w="4011" w:type="dxa"/>
            <w:tcBorders/>
            <w:tcMar>
              <w:bottom w:w="0" w:type="dxa"/>
            </w:tcMar>
            <w:vAlign w:val="center"/>
          </w:tcPr>
          <w:p>
            <w:pPr>
              <w:pStyle w:val="TableContents"/>
              <w:bidi w:val="0"/>
              <w:spacing w:before="0" w:after="283"/>
              <w:jc w:val="left"/>
              <w:rPr/>
            </w:pPr>
            <w:r>
              <w:rPr/>
              <w:t>Total long-term debt</w:t>
            </w:r>
          </w:p>
        </w:tc>
        <w:tc>
          <w:tcPr>
            <w:tcW w:w="90" w:type="dxa"/>
            <w:tcBorders/>
            <w:tcMar>
              <w:bottom w:w="0" w:type="dxa"/>
            </w:tcMar>
            <w:vAlign w:val="center"/>
          </w:tcPr>
          <w:p>
            <w:pPr>
              <w:pStyle w:val="TableContents"/>
              <w:bidi w:val="0"/>
              <w:spacing w:before="0" w:after="283"/>
              <w:jc w:val="left"/>
              <w:rPr/>
            </w:pPr>
            <w:r>
              <w:rPr/>
              <w:t> </w:t>
            </w:r>
          </w:p>
        </w:tc>
        <w:tc>
          <w:tcPr>
            <w:tcW w:w="158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vAlign w:val="center"/>
          </w:tcPr>
          <w:p>
            <w:pPr>
              <w:pStyle w:val="TableContents"/>
              <w:bidi w:val="0"/>
              <w:spacing w:before="0" w:after="283"/>
              <w:jc w:val="left"/>
              <w:rPr>
                <w:b/>
              </w:rPr>
            </w:pPr>
            <w:r>
              <w:rPr>
                <w:b/>
              </w:rPr>
              <w:t>$</w:t>
            </w:r>
          </w:p>
        </w:tc>
        <w:tc>
          <w:tcPr>
            <w:tcW w:w="1631" w:type="dxa"/>
            <w:tcBorders>
              <w:bottom w:val="double" w:sz="6" w:space="0" w:color="000000"/>
            </w:tcBorders>
            <w:vAlign w:val="center"/>
          </w:tcPr>
          <w:p>
            <w:pPr>
              <w:pStyle w:val="TableContents"/>
              <w:bidi w:val="0"/>
              <w:spacing w:before="0" w:after="283"/>
              <w:jc w:val="right"/>
              <w:rPr>
                <w:b/>
              </w:rPr>
            </w:pPr>
            <w:r>
              <w:rPr>
                <w:b/>
              </w:rPr>
              <w:t>1,899</w:t>
            </w:r>
          </w:p>
        </w:tc>
        <w:tc>
          <w:tcPr>
            <w:tcW w:w="185" w:type="dxa"/>
            <w:tcBorders>
              <w:bottom w:val="double" w:sz="6" w:space="0" w:color="000000"/>
            </w:tcBorders>
            <w:vAlign w:val="center"/>
          </w:tcPr>
          <w:p>
            <w:pPr>
              <w:pStyle w:val="TableContents"/>
              <w:bidi w:val="0"/>
              <w:spacing w:before="0" w:after="283"/>
              <w:jc w:val="left"/>
              <w:rPr>
                <w:sz w:val="4"/>
                <w:szCs w:val="4"/>
              </w:rPr>
            </w:pPr>
            <w:r>
              <w:rPr>
                <w:sz w:val="4"/>
                <w:szCs w:val="4"/>
              </w:rPr>
            </w:r>
          </w:p>
        </w:tc>
        <w:tc>
          <w:tcPr>
            <w:tcW w:w="90" w:type="dxa"/>
            <w:tcBorders/>
            <w:tcMar>
              <w:bottom w:w="0" w:type="dxa"/>
            </w:tcMar>
            <w:vAlign w:val="center"/>
          </w:tcPr>
          <w:p>
            <w:pPr>
              <w:pStyle w:val="TableContents"/>
              <w:bidi w:val="0"/>
              <w:spacing w:before="0" w:after="283"/>
              <w:jc w:val="left"/>
              <w:rPr/>
            </w:pPr>
            <w:r>
              <w:rPr/>
              <w:t> </w:t>
            </w:r>
          </w:p>
        </w:tc>
        <w:tc>
          <w:tcPr>
            <w:tcW w:w="170" w:type="dxa"/>
            <w:tcBorders>
              <w:bottom w:val="double" w:sz="6" w:space="0" w:color="000000"/>
            </w:tcBorders>
            <w:vAlign w:val="center"/>
          </w:tcPr>
          <w:p>
            <w:pPr>
              <w:pStyle w:val="TableContents"/>
              <w:bidi w:val="0"/>
              <w:spacing w:before="0" w:after="283"/>
              <w:jc w:val="left"/>
              <w:rPr/>
            </w:pPr>
            <w:r>
              <w:rPr/>
              <w:t>$</w:t>
            </w:r>
          </w:p>
        </w:tc>
        <w:tc>
          <w:tcPr>
            <w:tcW w:w="1946" w:type="dxa"/>
            <w:tcBorders>
              <w:bottom w:val="double" w:sz="6" w:space="0" w:color="000000"/>
            </w:tcBorders>
            <w:vAlign w:val="center"/>
          </w:tcPr>
          <w:p>
            <w:pPr>
              <w:pStyle w:val="TableContents"/>
              <w:bidi w:val="0"/>
              <w:spacing w:before="0" w:after="283"/>
              <w:jc w:val="right"/>
              <w:rPr/>
            </w:pPr>
            <w:r>
              <w:rPr/>
              <w:t>1,952</w:t>
            </w:r>
          </w:p>
        </w:tc>
        <w:tc>
          <w:tcPr>
            <w:tcW w:w="233" w:type="dxa"/>
            <w:tcBorders>
              <w:bottom w:val="double" w:sz="6"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Despite not having financial maintenance covenants on our Term Loan and secured notes, these agreements do contain certain negative covenants.  The failure to comply with these negative covenants could restrict our ability to incur additional indebtedness, effect acquisitions, enter into certain significant business combinations, make distributions or redeem indebtedness. We are in compliance with all covenants as of March 28, 2026.</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b/>
          <w:sz w:val="18"/>
        </w:rPr>
      </w:pPr>
      <w:r>
        <w:rPr>
          <w:rFonts w:ascii="Times New Roman" w:hAnsi="Times New Roman"/>
          <w:b/>
          <w:sz w:val="18"/>
        </w:rPr>
        <w:t>6.         Financial Instruments and Fair Value Measurements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In the normal course of business, the Company is exposed to certain risks arising from business operations and economic factors.  The Company may use derivative financial instruments to help manage market risk and reduce the exposure to fluctuations in foreign currencies and interest rates.  These financial instruments are not used for trading or other speculative purposes.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i/>
          <w:spacing w:val="0"/>
          <w:sz w:val="18"/>
        </w:rPr>
      </w:pPr>
      <w:r>
        <w:rPr>
          <w:rFonts w:ascii="Times New Roman" w:hAnsi="Times New Roman"/>
          <w:i/>
          <w:spacing w:val="0"/>
          <w:sz w:val="18"/>
        </w:rPr>
        <w:t>Cross-Currency Swaps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pacing w:val="0"/>
          <w:sz w:val="18"/>
        </w:rPr>
        <w:t>The Company is party to certain cross-currency swaps to hedge a portion of our foreign currency risk. T</w:t>
      </w:r>
      <w:r>
        <w:rPr>
          <w:rFonts w:ascii="Times New Roman" w:hAnsi="Times New Roman"/>
          <w:sz w:val="18"/>
        </w:rPr>
        <w:t xml:space="preserve">he swap agreements mature November 2027 (€250 million) and November 2029 (€425 million). The swaps are designated as a hedge of the Company’s foreign currency investment in foreign subsidiaries. The activity on net investment hedges, net of tax, recorded in Accumulated other comprehensive loss for the quarter ended </w:t>
      </w:r>
      <w:r>
        <w:rPr>
          <w:rFonts w:ascii="Times New Roman" w:hAnsi="Times New Roman"/>
          <w:spacing w:val="0"/>
          <w:sz w:val="18"/>
        </w:rPr>
        <w:t>March 28, 2026</w:t>
      </w:r>
      <w:r>
        <w:rPr>
          <w:rFonts w:ascii="Times New Roman" w:hAnsi="Times New Roman"/>
          <w:sz w:val="18"/>
        </w:rPr>
        <w:t xml:space="preserve"> and March 29, 2025 was $15 million and $(14) million, respectively. </w:t>
      </w:r>
      <w:r>
        <w:rPr>
          <w:rFonts w:ascii="Times New Roman" w:hAnsi="Times New Roman"/>
          <w:spacing w:val="0"/>
          <w:sz w:val="18"/>
        </w:rPr>
        <w:t>When valuing cross-currency swaps, the Company utilizes Level 2 inputs (substantially observable).</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 xml:space="preserve">The Company records the fair value positions of all derivative financial instruments on a net basis by counterparty for which a master netting arrangement is utilized. Balances on a gross basis are as follows: </w:t>
      </w:r>
    </w:p>
    <w:p>
      <w:pPr>
        <w:pStyle w:val="TextBody"/>
        <w:bidi w:val="0"/>
        <w:spacing w:lineRule="auto" w:line="314"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160"/>
        <w:gridCol w:w="90"/>
        <w:gridCol w:w="1763"/>
        <w:gridCol w:w="90"/>
        <w:gridCol w:w="2058"/>
        <w:gridCol w:w="90"/>
        <w:gridCol w:w="170"/>
        <w:gridCol w:w="1395"/>
        <w:gridCol w:w="185"/>
        <w:gridCol w:w="90"/>
        <w:gridCol w:w="170"/>
        <w:gridCol w:w="1710"/>
        <w:gridCol w:w="234"/>
      </w:tblGrid>
      <w:tr>
        <w:trPr/>
        <w:tc>
          <w:tcPr>
            <w:tcW w:w="2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160" w:type="dxa"/>
            <w:tcBorders>
              <w:bottom w:val="single" w:sz="2" w:space="0" w:color="000000"/>
            </w:tcBorders>
            <w:tcMar>
              <w:bottom w:w="28" w:type="dxa"/>
            </w:tcMar>
            <w:vAlign w:val="center"/>
          </w:tcPr>
          <w:p>
            <w:pPr>
              <w:pStyle w:val="TableContents"/>
              <w:bidi w:val="0"/>
              <w:spacing w:before="0" w:after="283"/>
              <w:jc w:val="left"/>
              <w:rPr>
                <w:b/>
              </w:rPr>
            </w:pPr>
            <w:r>
              <w:rPr>
                <w:b/>
              </w:rPr>
              <w:t>Derivative Instruments</w:t>
            </w:r>
          </w:p>
        </w:tc>
        <w:tc>
          <w:tcPr>
            <w:tcW w:w="90" w:type="dxa"/>
            <w:tcBorders/>
            <w:vAlign w:val="center"/>
          </w:tcPr>
          <w:p>
            <w:pPr>
              <w:pStyle w:val="TableContents"/>
              <w:bidi w:val="0"/>
              <w:spacing w:before="0" w:after="283"/>
              <w:jc w:val="left"/>
              <w:rPr/>
            </w:pPr>
            <w:r>
              <w:rPr/>
              <w:t> </w:t>
            </w:r>
          </w:p>
        </w:tc>
        <w:tc>
          <w:tcPr>
            <w:tcW w:w="1763" w:type="dxa"/>
            <w:tcBorders>
              <w:bottom w:val="single" w:sz="2" w:space="0" w:color="000000"/>
            </w:tcBorders>
            <w:tcMar>
              <w:bottom w:w="28" w:type="dxa"/>
            </w:tcMar>
            <w:vAlign w:val="center"/>
          </w:tcPr>
          <w:p>
            <w:pPr>
              <w:pStyle w:val="TableContents"/>
              <w:bidi w:val="0"/>
              <w:spacing w:before="0" w:after="283"/>
              <w:jc w:val="left"/>
              <w:rPr>
                <w:b/>
              </w:rPr>
            </w:pPr>
            <w:r>
              <w:rPr>
                <w:b/>
              </w:rPr>
              <w:t>Hedge Designation</w:t>
            </w:r>
          </w:p>
        </w:tc>
        <w:tc>
          <w:tcPr>
            <w:tcW w:w="90" w:type="dxa"/>
            <w:tcBorders/>
            <w:vAlign w:val="center"/>
          </w:tcPr>
          <w:p>
            <w:pPr>
              <w:pStyle w:val="TableContents"/>
              <w:bidi w:val="0"/>
              <w:spacing w:before="0" w:after="283"/>
              <w:jc w:val="left"/>
              <w:rPr/>
            </w:pPr>
            <w:r>
              <w:rPr/>
              <w:t> </w:t>
            </w:r>
          </w:p>
        </w:tc>
        <w:tc>
          <w:tcPr>
            <w:tcW w:w="2058" w:type="dxa"/>
            <w:tcBorders>
              <w:bottom w:val="single" w:sz="2" w:space="0" w:color="000000"/>
            </w:tcBorders>
            <w:tcMar>
              <w:bottom w:w="28" w:type="dxa"/>
            </w:tcMar>
            <w:vAlign w:val="center"/>
          </w:tcPr>
          <w:p>
            <w:pPr>
              <w:pStyle w:val="TableContents"/>
              <w:bidi w:val="0"/>
              <w:spacing w:before="0" w:after="283"/>
              <w:jc w:val="left"/>
              <w:rPr>
                <w:b/>
              </w:rPr>
            </w:pPr>
            <w:r>
              <w:rPr>
                <w:b/>
              </w:rPr>
              <w:t>Balance Sheet Location</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95" w:type="dxa"/>
            <w:tcBorders>
              <w:bottom w:val="single" w:sz="2" w:space="0" w:color="000000"/>
            </w:tcBorders>
            <w:tcMar>
              <w:bottom w:w="28" w:type="dxa"/>
            </w:tcMar>
            <w:vAlign w:val="center"/>
          </w:tcPr>
          <w:p>
            <w:pPr>
              <w:pStyle w:val="TableContents"/>
              <w:bidi w:val="0"/>
              <w:spacing w:before="0" w:after="283"/>
              <w:jc w:val="center"/>
              <w:rPr>
                <w:b/>
              </w:rPr>
            </w:pPr>
            <w:r>
              <w:rPr>
                <w:b/>
              </w:rPr>
              <w:t>March 28,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710" w:type="dxa"/>
            <w:tcBorders>
              <w:bottom w:val="single" w:sz="2" w:space="0" w:color="000000"/>
            </w:tcBorders>
            <w:tcMar>
              <w:bottom w:w="28" w:type="dxa"/>
            </w:tcMar>
            <w:vAlign w:val="center"/>
          </w:tcPr>
          <w:p>
            <w:pPr>
              <w:pStyle w:val="TableContents"/>
              <w:bidi w:val="0"/>
              <w:spacing w:before="0" w:after="283"/>
              <w:jc w:val="center"/>
              <w:rPr/>
            </w:pPr>
            <w:r>
              <w:rPr/>
              <w:t>September 27, 2025</w:t>
            </w:r>
          </w:p>
        </w:tc>
        <w:tc>
          <w:tcPr>
            <w:tcW w:w="234"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60" w:type="dxa"/>
            <w:tcBorders/>
            <w:vAlign w:val="center"/>
          </w:tcPr>
          <w:p>
            <w:pPr>
              <w:pStyle w:val="TableContents"/>
              <w:bidi w:val="0"/>
              <w:spacing w:before="0" w:after="283"/>
              <w:jc w:val="left"/>
              <w:rPr/>
            </w:pPr>
            <w:r>
              <w:rPr/>
              <w:t>Cross-currency swaps</w:t>
            </w:r>
          </w:p>
        </w:tc>
        <w:tc>
          <w:tcPr>
            <w:tcW w:w="90" w:type="dxa"/>
            <w:tcBorders/>
            <w:vAlign w:val="center"/>
          </w:tcPr>
          <w:p>
            <w:pPr>
              <w:pStyle w:val="TableContents"/>
              <w:bidi w:val="0"/>
              <w:spacing w:before="0" w:after="283"/>
              <w:jc w:val="left"/>
              <w:rPr/>
            </w:pPr>
            <w:r>
              <w:rPr/>
              <w:t> </w:t>
            </w:r>
          </w:p>
        </w:tc>
        <w:tc>
          <w:tcPr>
            <w:tcW w:w="1763" w:type="dxa"/>
            <w:tcBorders/>
            <w:vAlign w:val="center"/>
          </w:tcPr>
          <w:p>
            <w:pPr>
              <w:pStyle w:val="TableContents"/>
              <w:bidi w:val="0"/>
              <w:spacing w:before="0" w:after="283"/>
              <w:jc w:val="left"/>
              <w:rPr/>
            </w:pPr>
            <w:r>
              <w:rPr/>
              <w:t>Designated</w:t>
            </w:r>
          </w:p>
        </w:tc>
        <w:tc>
          <w:tcPr>
            <w:tcW w:w="90" w:type="dxa"/>
            <w:tcBorders/>
            <w:vAlign w:val="center"/>
          </w:tcPr>
          <w:p>
            <w:pPr>
              <w:pStyle w:val="TableContents"/>
              <w:bidi w:val="0"/>
              <w:spacing w:before="0" w:after="283"/>
              <w:jc w:val="left"/>
              <w:rPr/>
            </w:pPr>
            <w:r>
              <w:rPr/>
              <w:t> </w:t>
            </w:r>
          </w:p>
        </w:tc>
        <w:tc>
          <w:tcPr>
            <w:tcW w:w="2058" w:type="dxa"/>
            <w:tcBorders/>
            <w:vAlign w:val="center"/>
          </w:tcPr>
          <w:p>
            <w:pPr>
              <w:pStyle w:val="TableContents"/>
              <w:bidi w:val="0"/>
              <w:spacing w:before="0" w:after="283"/>
              <w:jc w:val="left"/>
              <w:rPr/>
            </w:pPr>
            <w:r>
              <w:rPr/>
              <w:t>Other long-term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395" w:type="dxa"/>
            <w:tcBorders/>
            <w:vAlign w:val="center"/>
          </w:tcPr>
          <w:p>
            <w:pPr>
              <w:pStyle w:val="TableContents"/>
              <w:bidi w:val="0"/>
              <w:spacing w:before="0" w:after="283"/>
              <w:jc w:val="right"/>
              <w:rPr>
                <w:b/>
              </w:rPr>
            </w:pPr>
            <w:r>
              <w:rPr>
                <w:b/>
              </w:rPr>
              <w:t>(79</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10" w:type="dxa"/>
            <w:tcBorders/>
            <w:vAlign w:val="center"/>
          </w:tcPr>
          <w:p>
            <w:pPr>
              <w:pStyle w:val="TableContents"/>
              <w:bidi w:val="0"/>
              <w:spacing w:before="0" w:after="283"/>
              <w:jc w:val="right"/>
              <w:rPr/>
            </w:pPr>
            <w:r>
              <w:rPr/>
              <w:t>(99</w:t>
            </w:r>
          </w:p>
        </w:tc>
        <w:tc>
          <w:tcPr>
            <w:tcW w:w="234" w:type="dxa"/>
            <w:tcBorders/>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effect of the Company’s derivative financial instruments on the Consolidated and Combined Statements of Operations is as follows:</w:t>
      </w:r>
      <w:r>
        <w:rPr>
          <w:rFonts w:ascii="Times New Roman" w:hAnsi="Times New Roman"/>
          <w:sz w:val="1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30"/>
        <w:gridCol w:w="90"/>
        <w:gridCol w:w="2302"/>
        <w:gridCol w:w="90"/>
        <w:gridCol w:w="170"/>
        <w:gridCol w:w="1165"/>
        <w:gridCol w:w="90"/>
        <w:gridCol w:w="90"/>
        <w:gridCol w:w="170"/>
        <w:gridCol w:w="1090"/>
        <w:gridCol w:w="90"/>
        <w:gridCol w:w="53"/>
        <w:gridCol w:w="170"/>
        <w:gridCol w:w="1165"/>
        <w:gridCol w:w="90"/>
        <w:gridCol w:w="53"/>
        <w:gridCol w:w="170"/>
        <w:gridCol w:w="1090"/>
        <w:gridCol w:w="137"/>
      </w:tblGrid>
      <w:tr>
        <w:trPr/>
        <w:tc>
          <w:tcPr>
            <w:tcW w:w="19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 </w:t>
            </w:r>
          </w:p>
        </w:tc>
      </w:tr>
      <w:tr>
        <w:trPr/>
        <w:tc>
          <w:tcPr>
            <w:tcW w:w="19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86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53" w:type="dxa"/>
            <w:tcBorders/>
            <w:vAlign w:val="center"/>
          </w:tcPr>
          <w:p>
            <w:pPr>
              <w:pStyle w:val="TableContents"/>
              <w:bidi w:val="0"/>
              <w:spacing w:before="0" w:after="283"/>
              <w:jc w:val="left"/>
              <w:rPr>
                <w:sz w:val="4"/>
                <w:szCs w:val="4"/>
              </w:rPr>
            </w:pPr>
            <w:r>
              <w:rPr>
                <w:sz w:val="4"/>
                <w:szCs w:val="4"/>
              </w:rPr>
            </w:r>
          </w:p>
        </w:tc>
        <w:tc>
          <w:tcPr>
            <w:tcW w:w="287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Two Quarterly Periods Ended</w:t>
            </w:r>
          </w:p>
        </w:tc>
      </w:tr>
      <w:tr>
        <w:trPr/>
        <w:tc>
          <w:tcPr>
            <w:tcW w:w="1930" w:type="dxa"/>
            <w:tcBorders>
              <w:bottom w:val="single" w:sz="2" w:space="0" w:color="000000"/>
            </w:tcBorders>
            <w:tcMar>
              <w:bottom w:w="28" w:type="dxa"/>
            </w:tcMar>
            <w:vAlign w:val="center"/>
          </w:tcPr>
          <w:p>
            <w:pPr>
              <w:pStyle w:val="TableContents"/>
              <w:bidi w:val="0"/>
              <w:spacing w:before="0" w:after="283"/>
              <w:jc w:val="left"/>
              <w:rPr>
                <w:b/>
              </w:rPr>
            </w:pPr>
            <w:r>
              <w:rPr>
                <w:b/>
              </w:rPr>
              <w:t>Derivative Instruments</w:t>
            </w:r>
          </w:p>
        </w:tc>
        <w:tc>
          <w:tcPr>
            <w:tcW w:w="90" w:type="dxa"/>
            <w:tcBorders/>
            <w:vAlign w:val="center"/>
          </w:tcPr>
          <w:p>
            <w:pPr>
              <w:pStyle w:val="TableContents"/>
              <w:bidi w:val="0"/>
              <w:spacing w:before="0" w:after="283"/>
              <w:jc w:val="left"/>
              <w:rPr/>
            </w:pPr>
            <w:r>
              <w:rPr/>
              <w:t> </w:t>
            </w:r>
          </w:p>
        </w:tc>
        <w:tc>
          <w:tcPr>
            <w:tcW w:w="2302" w:type="dxa"/>
            <w:tcBorders>
              <w:bottom w:val="single" w:sz="2" w:space="0" w:color="000000"/>
            </w:tcBorders>
            <w:tcMar>
              <w:bottom w:w="28" w:type="dxa"/>
            </w:tcMar>
            <w:vAlign w:val="center"/>
          </w:tcPr>
          <w:p>
            <w:pPr>
              <w:pStyle w:val="TableContents"/>
              <w:bidi w:val="0"/>
              <w:spacing w:before="0" w:after="283"/>
              <w:jc w:val="left"/>
              <w:rPr>
                <w:b/>
              </w:rPr>
            </w:pPr>
            <w:r>
              <w:rPr>
                <w:b/>
              </w:rPr>
              <w:t>Statements of Operations Location</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5" w:type="dxa"/>
            <w:tcBorders>
              <w:bottom w:val="single" w:sz="2" w:space="0" w:color="000000"/>
            </w:tcBorders>
            <w:tcMar>
              <w:bottom w:w="28" w:type="dxa"/>
            </w:tcMar>
            <w:vAlign w:val="center"/>
          </w:tcPr>
          <w:p>
            <w:pPr>
              <w:pStyle w:val="TableContents"/>
              <w:bidi w:val="0"/>
              <w:spacing w:before="0" w:after="283"/>
              <w:jc w:val="center"/>
              <w:rPr>
                <w:b/>
              </w:rPr>
            </w:pPr>
            <w:r>
              <w:rPr>
                <w:b/>
              </w:rPr>
              <w:t>March 28,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0" w:type="dxa"/>
            <w:tcBorders>
              <w:bottom w:val="single" w:sz="2" w:space="0" w:color="000000"/>
            </w:tcBorders>
            <w:tcMar>
              <w:bottom w:w="28" w:type="dxa"/>
            </w:tcMar>
            <w:vAlign w:val="center"/>
          </w:tcPr>
          <w:p>
            <w:pPr>
              <w:pStyle w:val="TableContents"/>
              <w:bidi w:val="0"/>
              <w:spacing w:before="0" w:after="283"/>
              <w:jc w:val="center"/>
              <w:rPr/>
            </w:pPr>
            <w:r>
              <w:rPr/>
              <w:t>March 29, 2025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65" w:type="dxa"/>
            <w:tcBorders>
              <w:bottom w:val="single" w:sz="2" w:space="0" w:color="000000"/>
            </w:tcBorders>
            <w:tcMar>
              <w:bottom w:w="28" w:type="dxa"/>
            </w:tcMar>
            <w:vAlign w:val="center"/>
          </w:tcPr>
          <w:p>
            <w:pPr>
              <w:pStyle w:val="TableContents"/>
              <w:bidi w:val="0"/>
              <w:spacing w:before="0" w:after="283"/>
              <w:jc w:val="center"/>
              <w:rPr>
                <w:b/>
              </w:rPr>
            </w:pPr>
            <w:r>
              <w:rPr>
                <w:b/>
              </w:rPr>
              <w:t>March 28, 2026</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090" w:type="dxa"/>
            <w:tcBorders>
              <w:bottom w:val="single" w:sz="2" w:space="0" w:color="000000"/>
            </w:tcBorders>
            <w:tcMar>
              <w:bottom w:w="28" w:type="dxa"/>
            </w:tcMar>
            <w:vAlign w:val="center"/>
          </w:tcPr>
          <w:p>
            <w:pPr>
              <w:pStyle w:val="TableContents"/>
              <w:bidi w:val="0"/>
              <w:spacing w:before="0" w:after="283"/>
              <w:jc w:val="center"/>
              <w:rPr/>
            </w:pPr>
            <w:r>
              <w:rPr/>
              <w:t>March 29, 2025</w:t>
            </w:r>
          </w:p>
        </w:tc>
        <w:tc>
          <w:tcPr>
            <w:tcW w:w="137"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1930" w:type="dxa"/>
            <w:tcBorders/>
            <w:vAlign w:val="center"/>
          </w:tcPr>
          <w:p>
            <w:pPr>
              <w:pStyle w:val="TableContents"/>
              <w:bidi w:val="0"/>
              <w:spacing w:before="0" w:after="283"/>
              <w:jc w:val="left"/>
              <w:rPr/>
            </w:pPr>
            <w:r>
              <w:rPr/>
              <w:t>Cross-currency swaps</w:t>
            </w:r>
          </w:p>
        </w:tc>
        <w:tc>
          <w:tcPr>
            <w:tcW w:w="90" w:type="dxa"/>
            <w:tcBorders/>
            <w:vAlign w:val="center"/>
          </w:tcPr>
          <w:p>
            <w:pPr>
              <w:pStyle w:val="TableContents"/>
              <w:bidi w:val="0"/>
              <w:spacing w:before="0" w:after="283"/>
              <w:jc w:val="left"/>
              <w:rPr/>
            </w:pPr>
            <w:r>
              <w:rPr/>
              <w:t> </w:t>
            </w:r>
          </w:p>
        </w:tc>
        <w:tc>
          <w:tcPr>
            <w:tcW w:w="2302" w:type="dxa"/>
            <w:tcBorders/>
            <w:vAlign w:val="center"/>
          </w:tcPr>
          <w:p>
            <w:pPr>
              <w:pStyle w:val="TableContents"/>
              <w:bidi w:val="0"/>
              <w:spacing w:before="0" w:after="283"/>
              <w:jc w:val="left"/>
              <w:rPr/>
            </w:pPr>
            <w:r>
              <w:rPr/>
              <w:t>Interest expense,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65" w:type="dxa"/>
            <w:tcBorders/>
            <w:vAlign w:val="center"/>
          </w:tcPr>
          <w:p>
            <w:pPr>
              <w:pStyle w:val="TableContents"/>
              <w:bidi w:val="0"/>
              <w:spacing w:before="0" w:after="0"/>
              <w:jc w:val="right"/>
              <w:rPr>
                <w:b/>
              </w:rPr>
            </w:pPr>
            <w:r>
              <w:rPr>
                <w:b/>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0"/>
              <w:jc w:val="right"/>
              <w:rPr/>
            </w:pPr>
            <w:r>
              <w:rPr/>
              <w:t>3</w:t>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1165" w:type="dxa"/>
            <w:tcBorders/>
            <w:vAlign w:val="center"/>
          </w:tcPr>
          <w:p>
            <w:pPr>
              <w:pStyle w:val="TableContents"/>
              <w:bidi w:val="0"/>
              <w:spacing w:before="0" w:after="0"/>
              <w:jc w:val="right"/>
              <w:rPr>
                <w:b/>
              </w:rPr>
            </w:pPr>
            <w:r>
              <w:rPr>
                <w:b/>
              </w:rPr>
              <w:t>4</w:t>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0"/>
              <w:jc w:val="right"/>
              <w:rPr/>
            </w:pPr>
            <w:r>
              <w:rPr/>
              <w:t>5</w:t>
            </w:r>
          </w:p>
        </w:tc>
        <w:tc>
          <w:tcPr>
            <w:tcW w:w="13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color w:val="000000"/>
          <w:sz w:val="18"/>
        </w:rPr>
        <w:t>Non-recurring Fair Value Measurements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The Company has certain assets that are measured at fair value on a non-recurring basis when impairment indicators are present or when the Company completes an acquisition.  The Company adjusts certain long-lived assets to fair value only when the carrying values exceed the fair values.  The categorization of the framework used to value the assets is considered Level 3, due to the subjective nature of the unobservable inputs used to determine the fair value.  These assets that are subject to our impairment analysis primarily include our definite lived and indefinite lived intangible assets, including Goodwill and our Property, plant and equipment. The Company reviews Goodwill and other indefinite lived assets for impairment as of the first day of the fourth fiscal quarter each year and more frequently if impairment indicators exist. No impairment indicators were identified in the current quarter, but sustained periods of lower valuation market multiples or </w:t>
      </w:r>
      <w:r>
        <w:rPr>
          <w:rFonts w:ascii="Times New Roman" w:hAnsi="Times New Roman"/>
          <w:spacing w:val="0"/>
          <w:sz w:val="18"/>
        </w:rPr>
        <w:t xml:space="preserve">future declines in our expected operating performance </w:t>
      </w:r>
      <w:r>
        <w:rPr>
          <w:rFonts w:ascii="Times New Roman" w:hAnsi="Times New Roman"/>
          <w:sz w:val="18"/>
        </w:rPr>
        <w:t>could result in impairment charges in the future.</w:t>
      </w:r>
    </w:p>
    <w:p>
      <w:pPr>
        <w:pStyle w:val="TextBody"/>
        <w:bidi w:val="0"/>
        <w:spacing w:before="0" w:after="0"/>
        <w:jc w:val="left"/>
        <w:rPr/>
      </w:pPr>
      <w:r>
        <w:rPr/>
        <w:t> </w:t>
      </w:r>
    </w:p>
    <w:p>
      <w:pPr>
        <w:pStyle w:val="TextBody"/>
        <w:bidi w:val="0"/>
        <w:spacing w:before="0" w:after="0"/>
        <w:jc w:val="left"/>
        <w:rPr>
          <w:rFonts w:ascii="Times New Roman" w:hAnsi="Times New Roman"/>
          <w:spacing w:val="0"/>
          <w:sz w:val="18"/>
        </w:rPr>
      </w:pPr>
      <w:r>
        <w:rPr>
          <w:rFonts w:ascii="Times New Roman" w:hAnsi="Times New Roman"/>
          <w:spacing w:val="0"/>
          <w:sz w:val="18"/>
        </w:rPr>
        <w:t>The Company’s financial instruments consist primarily of cash and cash equivalents, long-term debt, and cross-currency swap agreements.  The book value of our marketable long-term indebtedness exceeded fair value by $136 million as of March 28, 2026.  The Company’s long-term debt fair values were determined using Level 2 inputs (substantially observable).</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10</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b/>
          <w:sz w:val="18"/>
        </w:rPr>
      </w:pPr>
      <w:r>
        <w:rPr>
          <w:rFonts w:ascii="Times New Roman" w:hAnsi="Times New Roman"/>
          <w:b/>
          <w:sz w:val="18"/>
        </w:rPr>
        <w:t>7.         Income Taxes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The year-to-date effective income tax rate was unfavorably impacted by the jurisdictional mix of pre-tax results among the Company and its subsidiaries and losses, which generate no tax benefit in domestic and certain foreign jurisdictions.  Foreign income taxed in the U.S., as well as certain changes in applicable withholding taxes, also unfavorably influenced the effective tax rate. </w:t>
      </w:r>
    </w:p>
    <w:p>
      <w:pPr>
        <w:pStyle w:val="TextBody"/>
        <w:bidi w:val="0"/>
        <w:spacing w:before="0" w:after="0"/>
        <w:ind w:left="0" w:right="0" w:hanging="54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8.         Segment and Geographic Data</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Company’s operations are organized into two operating and reportable segments: Americas and Rest of World. The structure is designed to align us with our customers, provide improved service, drive future growth, and facilitate synergy realization. </w:t>
      </w:r>
      <w:r>
        <w:rPr>
          <w:rFonts w:ascii="Times New Roman" w:hAnsi="Times New Roman"/>
          <w:sz w:val="18"/>
        </w:rPr>
        <w:t>Adjusted EBITDA is the primary measure of profit (loss) used by the chief operating decision maker ("CODM"), our CEO, to evaluate the performance of and allocate resources among our reportable segments.  The Company defines Adjusted EBITDA as operating income adjusted to eliminate the impact of certain items that the Company does not consider indicative of its ongoing operating performance. The Company's management, including the CODM, uses Adjusted EBITDA to evaluate segment performance and allocate resources. The accounting policies of the reportable segments are the same as those in the Consolidated and Combined Financial Statements. The Company's CODM uses consolidated expense information in the evaluation of segment performance and to allocate resources and is not regularly provided disaggregated expense information for each of the reportable segments.</w:t>
      </w:r>
    </w:p>
    <w:p>
      <w:pPr>
        <w:pStyle w:val="TextBody"/>
        <w:bidi w:val="0"/>
        <w:spacing w:before="0" w:after="0"/>
        <w:jc w:val="left"/>
        <w:rPr/>
      </w:pPr>
      <w:r>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Selected information by reportable segment is presented in the following tables: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48"/>
        <w:gridCol w:w="90"/>
        <w:gridCol w:w="170"/>
        <w:gridCol w:w="1170"/>
        <w:gridCol w:w="185"/>
        <w:gridCol w:w="90"/>
        <w:gridCol w:w="170"/>
        <w:gridCol w:w="1095"/>
        <w:gridCol w:w="185"/>
        <w:gridCol w:w="90"/>
        <w:gridCol w:w="170"/>
        <w:gridCol w:w="1170"/>
        <w:gridCol w:w="185"/>
        <w:gridCol w:w="90"/>
        <w:gridCol w:w="170"/>
        <w:gridCol w:w="1095"/>
        <w:gridCol w:w="232"/>
      </w:tblGrid>
      <w:tr>
        <w:trPr/>
        <w:tc>
          <w:tcPr>
            <w:tcW w:w="384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8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6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pPr>
            <w:r>
              <w:rPr/>
              <w:t> </w:t>
            </w:r>
          </w:p>
        </w:tc>
        <w:tc>
          <w:tcPr>
            <w:tcW w:w="3112"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Two Quarterly Periods Ended</w:t>
            </w:r>
          </w:p>
        </w:tc>
      </w:tr>
      <w:tr>
        <w:trPr/>
        <w:tc>
          <w:tcPr>
            <w:tcW w:w="38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tcBorders>
            <w:tcMar>
              <w:bottom w:w="28" w:type="dxa"/>
            </w:tcMar>
            <w:vAlign w:val="center"/>
          </w:tcPr>
          <w:p>
            <w:pPr>
              <w:pStyle w:val="TableContents"/>
              <w:bidi w:val="0"/>
              <w:spacing w:before="0" w:after="283"/>
              <w:jc w:val="center"/>
              <w:rPr>
                <w:b/>
              </w:rPr>
            </w:pPr>
            <w:r>
              <w:rPr>
                <w:b/>
              </w:rPr>
              <w:t>March 28,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6" w:space="0" w:color="000000"/>
            </w:tcBorders>
            <w:tcMar>
              <w:bottom w:w="28" w:type="dxa"/>
            </w:tcMar>
            <w:vAlign w:val="center"/>
          </w:tcPr>
          <w:p>
            <w:pPr>
              <w:pStyle w:val="TableContents"/>
              <w:bidi w:val="0"/>
              <w:spacing w:before="0" w:after="283"/>
              <w:jc w:val="center"/>
              <w:rPr/>
            </w:pPr>
            <w:r>
              <w:rPr/>
              <w:t>March 29, 2025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tcBorders>
            <w:tcMar>
              <w:bottom w:w="28" w:type="dxa"/>
            </w:tcMar>
            <w:vAlign w:val="center"/>
          </w:tcPr>
          <w:p>
            <w:pPr>
              <w:pStyle w:val="TableContents"/>
              <w:bidi w:val="0"/>
              <w:spacing w:before="0" w:after="283"/>
              <w:jc w:val="center"/>
              <w:rPr>
                <w:b/>
              </w:rPr>
            </w:pPr>
            <w:r>
              <w:rPr>
                <w:b/>
              </w:rPr>
              <w:t>March 28,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6" w:space="0" w:color="000000"/>
            </w:tcBorders>
            <w:tcMar>
              <w:bottom w:w="28" w:type="dxa"/>
            </w:tcMar>
            <w:vAlign w:val="center"/>
          </w:tcPr>
          <w:p>
            <w:pPr>
              <w:pStyle w:val="TableContents"/>
              <w:bidi w:val="0"/>
              <w:spacing w:before="0" w:after="283"/>
              <w:jc w:val="center"/>
              <w:rPr/>
            </w:pPr>
            <w:r>
              <w:rPr/>
              <w:t>March 29, 2025</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70" w:type="dxa"/>
            <w:tcBorders/>
            <w:vAlign w:val="center"/>
          </w:tcPr>
          <w:p>
            <w:pPr>
              <w:pStyle w:val="TableContents"/>
              <w:bidi w:val="0"/>
              <w:spacing w:before="0" w:after="283"/>
              <w:jc w:val="right"/>
              <w:rPr>
                <w:b/>
              </w:rPr>
            </w:pPr>
            <w:r>
              <w:rPr>
                <w:b/>
              </w:rPr>
              <w:t>437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473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70" w:type="dxa"/>
            <w:tcBorders/>
            <w:vAlign w:val="center"/>
          </w:tcPr>
          <w:p>
            <w:pPr>
              <w:pStyle w:val="TableContents"/>
              <w:bidi w:val="0"/>
              <w:spacing w:before="0" w:after="283"/>
              <w:jc w:val="right"/>
              <w:rPr>
                <w:b/>
              </w:rPr>
            </w:pPr>
            <w:r>
              <w:rPr>
                <w:b/>
              </w:rPr>
              <w:t>877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893</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tcBorders>
            <w:tcMar>
              <w:bottom w:w="28" w:type="dxa"/>
            </w:tcMar>
            <w:vAlign w:val="center"/>
          </w:tcPr>
          <w:p>
            <w:pPr>
              <w:pStyle w:val="TableContents"/>
              <w:bidi w:val="0"/>
              <w:spacing w:before="0" w:after="283"/>
              <w:jc w:val="right"/>
              <w:rPr>
                <w:b/>
              </w:rPr>
            </w:pPr>
            <w:r>
              <w:rPr>
                <w:b/>
              </w:rPr>
              <w:t>359</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6" w:space="0" w:color="000000"/>
            </w:tcBorders>
            <w:tcMar>
              <w:bottom w:w="28" w:type="dxa"/>
            </w:tcMar>
            <w:vAlign w:val="center"/>
          </w:tcPr>
          <w:p>
            <w:pPr>
              <w:pStyle w:val="TableContents"/>
              <w:bidi w:val="0"/>
              <w:spacing w:before="0" w:after="283"/>
              <w:jc w:val="right"/>
              <w:rPr/>
            </w:pPr>
            <w:r>
              <w:rPr/>
              <w:t>351</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tcBorders>
            <w:tcMar>
              <w:bottom w:w="28" w:type="dxa"/>
            </w:tcMar>
            <w:vAlign w:val="center"/>
          </w:tcPr>
          <w:p>
            <w:pPr>
              <w:pStyle w:val="TableContents"/>
              <w:bidi w:val="0"/>
              <w:spacing w:before="0" w:after="283"/>
              <w:jc w:val="right"/>
              <w:rPr>
                <w:b/>
              </w:rPr>
            </w:pPr>
            <w:r>
              <w:rPr>
                <w:b/>
              </w:rPr>
              <w:t>711</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6" w:space="0" w:color="000000"/>
            </w:tcBorders>
            <w:tcMar>
              <w:bottom w:w="28" w:type="dxa"/>
            </w:tcMar>
            <w:vAlign w:val="center"/>
          </w:tcPr>
          <w:p>
            <w:pPr>
              <w:pStyle w:val="TableContents"/>
              <w:bidi w:val="0"/>
              <w:spacing w:before="0" w:after="283"/>
              <w:jc w:val="right"/>
              <w:rPr/>
            </w:pPr>
            <w:r>
              <w:rPr/>
              <w:t>633</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Total net sales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0" w:type="dxa"/>
            <w:tcBorders>
              <w:bottom w:val="double" w:sz="6" w:space="0" w:color="000000"/>
            </w:tcBorders>
            <w:tcMar>
              <w:bottom w:w="28" w:type="dxa"/>
            </w:tcMar>
            <w:vAlign w:val="center"/>
          </w:tcPr>
          <w:p>
            <w:pPr>
              <w:pStyle w:val="TableContents"/>
              <w:bidi w:val="0"/>
              <w:spacing w:before="0" w:after="283"/>
              <w:jc w:val="right"/>
              <w:rPr>
                <w:b/>
              </w:rPr>
            </w:pPr>
            <w:r>
              <w:rPr>
                <w:b/>
              </w:rPr>
              <w:t>796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tcMar>
              <w:bottom w:w="28" w:type="dxa"/>
            </w:tcMar>
            <w:vAlign w:val="center"/>
          </w:tcPr>
          <w:p>
            <w:pPr>
              <w:pStyle w:val="TableContents"/>
              <w:bidi w:val="0"/>
              <w:spacing w:before="0" w:after="283"/>
              <w:jc w:val="right"/>
              <w:rPr/>
            </w:pPr>
            <w:r>
              <w:rPr/>
              <w:t>824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0" w:type="dxa"/>
            <w:tcBorders>
              <w:bottom w:val="double" w:sz="6" w:space="0" w:color="000000"/>
            </w:tcBorders>
            <w:tcMar>
              <w:bottom w:w="28" w:type="dxa"/>
            </w:tcMar>
            <w:vAlign w:val="center"/>
          </w:tcPr>
          <w:p>
            <w:pPr>
              <w:pStyle w:val="TableContents"/>
              <w:bidi w:val="0"/>
              <w:spacing w:before="0" w:after="283"/>
              <w:jc w:val="right"/>
              <w:rPr>
                <w:b/>
              </w:rPr>
            </w:pPr>
            <w:r>
              <w:rPr>
                <w:b/>
              </w:rPr>
              <w:t>1,588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tcMar>
              <w:bottom w:w="28" w:type="dxa"/>
            </w:tcMar>
            <w:vAlign w:val="center"/>
          </w:tcPr>
          <w:p>
            <w:pPr>
              <w:pStyle w:val="TableContents"/>
              <w:bidi w:val="0"/>
              <w:spacing w:before="0" w:after="283"/>
              <w:jc w:val="right"/>
              <w:rPr/>
            </w:pPr>
            <w:r>
              <w:rPr/>
              <w:t>1,526</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b/>
              </w:rPr>
            </w:pPr>
            <w:r>
              <w:rPr>
                <w:b/>
              </w:rPr>
              <w:t>Segment operating expenses(4)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70" w:type="dxa"/>
            <w:tcBorders/>
            <w:vAlign w:val="center"/>
          </w:tcPr>
          <w:p>
            <w:pPr>
              <w:pStyle w:val="TableContents"/>
              <w:bidi w:val="0"/>
              <w:spacing w:before="0" w:after="283"/>
              <w:jc w:val="right"/>
              <w:rPr>
                <w:b/>
              </w:rPr>
            </w:pPr>
            <w:r>
              <w:rPr>
                <w:b/>
              </w:rPr>
              <w:t>379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409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70" w:type="dxa"/>
            <w:tcBorders/>
            <w:vAlign w:val="center"/>
          </w:tcPr>
          <w:p>
            <w:pPr>
              <w:pStyle w:val="TableContents"/>
              <w:bidi w:val="0"/>
              <w:spacing w:before="0" w:after="283"/>
              <w:jc w:val="right"/>
              <w:rPr>
                <w:b/>
              </w:rPr>
            </w:pPr>
            <w:r>
              <w:rPr>
                <w:b/>
              </w:rPr>
              <w:t>761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773</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tcBorders>
            <w:tcMar>
              <w:bottom w:w="28" w:type="dxa"/>
            </w:tcMar>
            <w:vAlign w:val="center"/>
          </w:tcPr>
          <w:p>
            <w:pPr>
              <w:pStyle w:val="TableContents"/>
              <w:bidi w:val="0"/>
              <w:spacing w:before="0" w:after="283"/>
              <w:jc w:val="right"/>
              <w:rPr>
                <w:b/>
              </w:rPr>
            </w:pPr>
            <w:r>
              <w:rPr>
                <w:b/>
              </w:rPr>
              <w:t>327</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6" w:space="0" w:color="000000"/>
            </w:tcBorders>
            <w:tcMar>
              <w:bottom w:w="28" w:type="dxa"/>
            </w:tcMar>
            <w:vAlign w:val="center"/>
          </w:tcPr>
          <w:p>
            <w:pPr>
              <w:pStyle w:val="TableContents"/>
              <w:bidi w:val="0"/>
              <w:spacing w:before="0" w:after="283"/>
              <w:jc w:val="right"/>
              <w:rPr/>
            </w:pPr>
            <w:r>
              <w:rPr/>
              <w:t>326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tcBorders>
            <w:tcMar>
              <w:bottom w:w="28" w:type="dxa"/>
            </w:tcMar>
            <w:vAlign w:val="center"/>
          </w:tcPr>
          <w:p>
            <w:pPr>
              <w:pStyle w:val="TableContents"/>
              <w:bidi w:val="0"/>
              <w:spacing w:before="0" w:after="283"/>
              <w:jc w:val="right"/>
              <w:rPr>
                <w:b/>
              </w:rPr>
            </w:pPr>
            <w:r>
              <w:rPr>
                <w:b/>
              </w:rPr>
              <w:t>644</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6" w:space="0" w:color="000000"/>
            </w:tcBorders>
            <w:tcMar>
              <w:bottom w:w="28" w:type="dxa"/>
            </w:tcMar>
            <w:vAlign w:val="center"/>
          </w:tcPr>
          <w:p>
            <w:pPr>
              <w:pStyle w:val="TableContents"/>
              <w:bidi w:val="0"/>
              <w:spacing w:before="0" w:after="283"/>
              <w:jc w:val="right"/>
              <w:rPr/>
            </w:pPr>
            <w:r>
              <w:rPr/>
              <w:t>580</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Total segment operating expenses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0" w:type="dxa"/>
            <w:tcBorders>
              <w:bottom w:val="double" w:sz="6" w:space="0" w:color="000000"/>
            </w:tcBorders>
            <w:tcMar>
              <w:bottom w:w="28" w:type="dxa"/>
            </w:tcMar>
            <w:vAlign w:val="center"/>
          </w:tcPr>
          <w:p>
            <w:pPr>
              <w:pStyle w:val="TableContents"/>
              <w:bidi w:val="0"/>
              <w:spacing w:before="0" w:after="283"/>
              <w:jc w:val="right"/>
              <w:rPr>
                <w:b/>
              </w:rPr>
            </w:pPr>
            <w:r>
              <w:rPr>
                <w:b/>
              </w:rPr>
              <w:t>706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tcMar>
              <w:bottom w:w="28" w:type="dxa"/>
            </w:tcMar>
            <w:vAlign w:val="center"/>
          </w:tcPr>
          <w:p>
            <w:pPr>
              <w:pStyle w:val="TableContents"/>
              <w:bidi w:val="0"/>
              <w:spacing w:before="0" w:after="283"/>
              <w:jc w:val="right"/>
              <w:rPr/>
            </w:pPr>
            <w:r>
              <w:rPr/>
              <w:t>735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0" w:type="dxa"/>
            <w:tcBorders>
              <w:bottom w:val="double" w:sz="6" w:space="0" w:color="000000"/>
            </w:tcBorders>
            <w:tcMar>
              <w:bottom w:w="28" w:type="dxa"/>
            </w:tcMar>
            <w:vAlign w:val="center"/>
          </w:tcPr>
          <w:p>
            <w:pPr>
              <w:pStyle w:val="TableContents"/>
              <w:bidi w:val="0"/>
              <w:spacing w:before="0" w:after="283"/>
              <w:jc w:val="right"/>
              <w:rPr>
                <w:b/>
              </w:rPr>
            </w:pPr>
            <w:r>
              <w:rPr>
                <w:b/>
              </w:rPr>
              <w:t>1,405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tcMar>
              <w:bottom w:w="28" w:type="dxa"/>
            </w:tcMar>
            <w:vAlign w:val="center"/>
          </w:tcPr>
          <w:p>
            <w:pPr>
              <w:pStyle w:val="TableContents"/>
              <w:bidi w:val="0"/>
              <w:spacing w:before="0" w:after="283"/>
              <w:jc w:val="right"/>
              <w:rPr/>
            </w:pPr>
            <w:r>
              <w:rPr/>
              <w:t>1,353</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b/>
              </w:rPr>
            </w:pPr>
            <w:r>
              <w:rPr>
                <w:b/>
              </w:rPr>
              <w:t>Adjusted EBITDA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70" w:type="dxa"/>
            <w:tcBorders/>
            <w:vAlign w:val="center"/>
          </w:tcPr>
          <w:p>
            <w:pPr>
              <w:pStyle w:val="TableContents"/>
              <w:bidi w:val="0"/>
              <w:spacing w:before="0" w:after="283"/>
              <w:jc w:val="right"/>
              <w:rPr>
                <w:b/>
              </w:rPr>
            </w:pPr>
            <w:r>
              <w:rPr>
                <w:b/>
              </w:rPr>
              <w:t>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70" w:type="dxa"/>
            <w:tcBorders/>
            <w:vAlign w:val="center"/>
          </w:tcPr>
          <w:p>
            <w:pPr>
              <w:pStyle w:val="TableContents"/>
              <w:bidi w:val="0"/>
              <w:spacing w:before="0" w:after="283"/>
              <w:jc w:val="right"/>
              <w:rPr>
                <w:b/>
              </w:rPr>
            </w:pPr>
            <w:r>
              <w:rPr>
                <w:b/>
              </w:rPr>
              <w:t>116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120</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tcBorders>
            <w:tcMar>
              <w:bottom w:w="28" w:type="dxa"/>
            </w:tcMar>
            <w:vAlign w:val="center"/>
          </w:tcPr>
          <w:p>
            <w:pPr>
              <w:pStyle w:val="TableContents"/>
              <w:bidi w:val="0"/>
              <w:spacing w:before="0" w:after="283"/>
              <w:jc w:val="right"/>
              <w:rPr>
                <w:b/>
              </w:rPr>
            </w:pPr>
            <w:r>
              <w:rPr>
                <w:b/>
              </w:rPr>
              <w:t>32</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6" w:space="0" w:color="000000"/>
            </w:tcBorders>
            <w:tcMar>
              <w:bottom w:w="28" w:type="dxa"/>
            </w:tcMar>
            <w:vAlign w:val="center"/>
          </w:tcPr>
          <w:p>
            <w:pPr>
              <w:pStyle w:val="TableContents"/>
              <w:bidi w:val="0"/>
              <w:spacing w:before="0" w:after="283"/>
              <w:jc w:val="right"/>
              <w:rPr/>
            </w:pPr>
            <w:r>
              <w:rPr/>
              <w:t>25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tcBorders>
            <w:tcMar>
              <w:bottom w:w="28" w:type="dxa"/>
            </w:tcMar>
            <w:vAlign w:val="center"/>
          </w:tcPr>
          <w:p>
            <w:pPr>
              <w:pStyle w:val="TableContents"/>
              <w:bidi w:val="0"/>
              <w:spacing w:before="0" w:after="283"/>
              <w:jc w:val="right"/>
              <w:rPr>
                <w:b/>
              </w:rPr>
            </w:pPr>
            <w:r>
              <w:rPr>
                <w:b/>
              </w:rPr>
              <w:t>67</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6" w:space="0" w:color="000000"/>
            </w:tcBorders>
            <w:tcMar>
              <w:bottom w:w="28" w:type="dxa"/>
            </w:tcMar>
            <w:vAlign w:val="center"/>
          </w:tcPr>
          <w:p>
            <w:pPr>
              <w:pStyle w:val="TableContents"/>
              <w:bidi w:val="0"/>
              <w:spacing w:before="0" w:after="283"/>
              <w:jc w:val="right"/>
              <w:rPr/>
            </w:pPr>
            <w:r>
              <w:rPr/>
              <w:t>53</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Total adjusted EBITDA</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0" w:type="dxa"/>
            <w:tcBorders>
              <w:bottom w:val="double" w:sz="6" w:space="0" w:color="000000"/>
            </w:tcBorders>
            <w:tcMar>
              <w:bottom w:w="28" w:type="dxa"/>
            </w:tcMar>
            <w:vAlign w:val="center"/>
          </w:tcPr>
          <w:p>
            <w:pPr>
              <w:pStyle w:val="TableContents"/>
              <w:bidi w:val="0"/>
              <w:spacing w:before="0" w:after="283"/>
              <w:jc w:val="right"/>
              <w:rPr>
                <w:b/>
              </w:rPr>
            </w:pPr>
            <w:r>
              <w:rPr>
                <w:b/>
              </w:rPr>
              <w:t>90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tcMar>
              <w:bottom w:w="28" w:type="dxa"/>
            </w:tcMar>
            <w:vAlign w:val="center"/>
          </w:tcPr>
          <w:p>
            <w:pPr>
              <w:pStyle w:val="TableContents"/>
              <w:bidi w:val="0"/>
              <w:spacing w:before="0" w:after="283"/>
              <w:jc w:val="right"/>
              <w:rPr/>
            </w:pPr>
            <w:r>
              <w:rPr/>
              <w:t>89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0" w:type="dxa"/>
            <w:tcBorders>
              <w:bottom w:val="double" w:sz="6" w:space="0" w:color="000000"/>
            </w:tcBorders>
            <w:tcMar>
              <w:bottom w:w="28" w:type="dxa"/>
            </w:tcMar>
            <w:vAlign w:val="center"/>
          </w:tcPr>
          <w:p>
            <w:pPr>
              <w:pStyle w:val="TableContents"/>
              <w:bidi w:val="0"/>
              <w:spacing w:before="0" w:after="283"/>
              <w:jc w:val="right"/>
              <w:rPr>
                <w:b/>
              </w:rPr>
            </w:pPr>
            <w:r>
              <w:rPr>
                <w:b/>
              </w:rPr>
              <w:t>183</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tcMar>
              <w:bottom w:w="28" w:type="dxa"/>
            </w:tcMar>
            <w:vAlign w:val="center"/>
          </w:tcPr>
          <w:p>
            <w:pPr>
              <w:pStyle w:val="TableContents"/>
              <w:bidi w:val="0"/>
              <w:spacing w:before="0" w:after="283"/>
              <w:jc w:val="right"/>
              <w:rPr/>
            </w:pPr>
            <w:r>
              <w:rPr/>
              <w:t>173</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b/>
              </w:rPr>
            </w:pPr>
            <w:r>
              <w:rPr>
                <w:b/>
              </w:rPr>
              <w:t>Reconciling items: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70" w:type="dxa"/>
            <w:tcBorders/>
            <w:vAlign w:val="center"/>
          </w:tcPr>
          <w:p>
            <w:pPr>
              <w:pStyle w:val="TableContents"/>
              <w:bidi w:val="0"/>
              <w:spacing w:before="0" w:after="283"/>
              <w:jc w:val="right"/>
              <w:rPr>
                <w:b/>
              </w:rPr>
            </w:pPr>
            <w:r>
              <w:rPr>
                <w:b/>
              </w:rPr>
              <w:t>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70" w:type="dxa"/>
            <w:tcBorders/>
            <w:vAlign w:val="center"/>
          </w:tcPr>
          <w:p>
            <w:pPr>
              <w:pStyle w:val="TableContents"/>
              <w:bidi w:val="0"/>
              <w:spacing w:before="0" w:after="283"/>
              <w:jc w:val="right"/>
              <w:rPr>
                <w:b/>
              </w:rPr>
            </w:pPr>
            <w:r>
              <w:rPr>
                <w:b/>
              </w:rPr>
              <w:t>100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95" w:type="dxa"/>
            <w:tcBorders/>
            <w:vAlign w:val="center"/>
          </w:tcPr>
          <w:p>
            <w:pPr>
              <w:pStyle w:val="TableContents"/>
              <w:bidi w:val="0"/>
              <w:spacing w:before="0" w:after="283"/>
              <w:jc w:val="right"/>
              <w:rPr/>
            </w:pPr>
            <w:r>
              <w:rPr/>
              <w:t>111</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Restructuring, transaction, business optimization and other activities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b/>
              </w:rPr>
            </w:pPr>
            <w:r>
              <w:rPr>
                <w:b/>
              </w:rPr>
              <w:t>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b/>
              </w:rPr>
            </w:pPr>
            <w:r>
              <w:rPr>
                <w:b/>
              </w:rPr>
              <w:t>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51</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Argentina hyperinflation(1)</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b/>
              </w:rPr>
            </w:pPr>
            <w:r>
              <w:rPr>
                <w:b/>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 xml:space="preserve">— </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Corporate expense allocation(2)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3</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Other non-cash charges(3)</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tcBorders>
            <w:tcMar>
              <w:bottom w:w="28" w:type="dxa"/>
            </w:tcMar>
            <w:vAlign w:val="center"/>
          </w:tcPr>
          <w:p>
            <w:pPr>
              <w:pStyle w:val="TableContents"/>
              <w:bidi w:val="0"/>
              <w:spacing w:before="0" w:after="283"/>
              <w:jc w:val="right"/>
              <w:rPr>
                <w:b/>
              </w:rPr>
            </w:pPr>
            <w:r>
              <w:rPr>
                <w:b/>
              </w:rPr>
              <w:t>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6" w:space="0" w:color="000000"/>
            </w:tcBorders>
            <w:tcMar>
              <w:bottom w:w="28" w:type="dxa"/>
            </w:tcMar>
            <w:vAlign w:val="center"/>
          </w:tcPr>
          <w:p>
            <w:pPr>
              <w:pStyle w:val="TableContents"/>
              <w:bidi w:val="0"/>
              <w:spacing w:before="0" w:after="283"/>
              <w:jc w:val="right"/>
              <w:rPr/>
            </w:pPr>
            <w:r>
              <w:rPr/>
              <w:t>8</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tcBorders>
            <w:tcMar>
              <w:bottom w:w="28" w:type="dxa"/>
            </w:tcMar>
            <w:vAlign w:val="center"/>
          </w:tcPr>
          <w:p>
            <w:pPr>
              <w:pStyle w:val="TableContents"/>
              <w:bidi w:val="0"/>
              <w:spacing w:before="0" w:after="283"/>
              <w:jc w:val="right"/>
              <w:rPr>
                <w:b/>
              </w:rPr>
            </w:pPr>
            <w:r>
              <w:rPr>
                <w:b/>
              </w:rPr>
              <w:t>13</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6" w:space="0" w:color="000000"/>
            </w:tcBorders>
            <w:tcMar>
              <w:bottom w:w="28" w:type="dxa"/>
            </w:tcMar>
            <w:vAlign w:val="center"/>
          </w:tcPr>
          <w:p>
            <w:pPr>
              <w:pStyle w:val="TableContents"/>
              <w:bidi w:val="0"/>
              <w:spacing w:before="0" w:after="283"/>
              <w:jc w:val="right"/>
              <w:rPr/>
            </w:pPr>
            <w:r>
              <w:rPr/>
              <w:t>26</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Operating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b/>
              </w:rPr>
            </w:pPr>
            <w:r>
              <w:rPr>
                <w:b/>
              </w:rPr>
              <w:t>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0" w:type="dxa"/>
            <w:tcBorders/>
            <w:vAlign w:val="center"/>
          </w:tcPr>
          <w:p>
            <w:pPr>
              <w:pStyle w:val="TableContents"/>
              <w:bidi w:val="0"/>
              <w:spacing w:before="0" w:after="283"/>
              <w:jc w:val="right"/>
              <w:rPr>
                <w:b/>
              </w:rPr>
            </w:pPr>
            <w:r>
              <w:rPr>
                <w:b/>
              </w:rPr>
              <w:t>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pPr>
            <w:r>
              <w:rPr/>
              <w:t>(18</w:t>
            </w:r>
          </w:p>
        </w:tc>
        <w:tc>
          <w:tcPr>
            <w:tcW w:w="232" w:type="dxa"/>
            <w:tcBorders/>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Interest expense, net and other (income) expense, net</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tcBorders>
            <w:tcMar>
              <w:bottom w:w="28" w:type="dxa"/>
            </w:tcMar>
            <w:vAlign w:val="center"/>
          </w:tcPr>
          <w:p>
            <w:pPr>
              <w:pStyle w:val="TableContents"/>
              <w:bidi w:val="0"/>
              <w:spacing w:before="0" w:after="283"/>
              <w:jc w:val="right"/>
              <w:rPr>
                <w:b/>
              </w:rPr>
            </w:pPr>
            <w:r>
              <w:rPr>
                <w:b/>
              </w:rPr>
              <w:t>34</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6" w:space="0" w:color="000000"/>
            </w:tcBorders>
            <w:tcMar>
              <w:bottom w:w="28" w:type="dxa"/>
            </w:tcMar>
            <w:vAlign w:val="center"/>
          </w:tcPr>
          <w:p>
            <w:pPr>
              <w:pStyle w:val="TableContents"/>
              <w:bidi w:val="0"/>
              <w:spacing w:before="0" w:after="283"/>
              <w:jc w:val="right"/>
              <w:rPr/>
            </w:pPr>
            <w:r>
              <w:rPr/>
              <w:t>44</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70" w:type="dxa"/>
            <w:tcBorders>
              <w:bottom w:val="single" w:sz="6" w:space="0" w:color="000000"/>
            </w:tcBorders>
            <w:tcMar>
              <w:bottom w:w="28" w:type="dxa"/>
            </w:tcMar>
            <w:vAlign w:val="center"/>
          </w:tcPr>
          <w:p>
            <w:pPr>
              <w:pStyle w:val="TableContents"/>
              <w:bidi w:val="0"/>
              <w:spacing w:before="0" w:after="283"/>
              <w:jc w:val="right"/>
              <w:rPr>
                <w:b/>
              </w:rPr>
            </w:pPr>
            <w:r>
              <w:rPr>
                <w:b/>
              </w:rPr>
              <w:t>77</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5" w:type="dxa"/>
            <w:tcBorders>
              <w:bottom w:val="single" w:sz="6" w:space="0" w:color="000000"/>
            </w:tcBorders>
            <w:tcMar>
              <w:bottom w:w="28" w:type="dxa"/>
            </w:tcMar>
            <w:vAlign w:val="center"/>
          </w:tcPr>
          <w:p>
            <w:pPr>
              <w:pStyle w:val="TableContents"/>
              <w:bidi w:val="0"/>
              <w:spacing w:before="0" w:after="283"/>
              <w:jc w:val="right"/>
              <w:rPr/>
            </w:pPr>
            <w:r>
              <w:rPr/>
              <w:t>91</w:t>
            </w:r>
          </w:p>
        </w:tc>
        <w:tc>
          <w:tcPr>
            <w:tcW w:w="23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48" w:type="dxa"/>
            <w:tcBorders/>
            <w:vAlign w:val="center"/>
          </w:tcPr>
          <w:p>
            <w:pPr>
              <w:pStyle w:val="TableContents"/>
              <w:bidi w:val="0"/>
              <w:spacing w:before="0" w:after="283"/>
              <w:jc w:val="left"/>
              <w:rPr/>
            </w:pPr>
            <w:r>
              <w:rPr/>
              <w:t>Loss before income taxes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0" w:type="dxa"/>
            <w:tcBorders>
              <w:bottom w:val="double" w:sz="6" w:space="0" w:color="000000"/>
            </w:tcBorders>
            <w:tcMar>
              <w:bottom w:w="28" w:type="dxa"/>
            </w:tcMar>
            <w:vAlign w:val="center"/>
          </w:tcPr>
          <w:p>
            <w:pPr>
              <w:pStyle w:val="TableContents"/>
              <w:bidi w:val="0"/>
              <w:spacing w:before="0" w:after="283"/>
              <w:jc w:val="right"/>
              <w:rPr>
                <w:b/>
              </w:rPr>
            </w:pPr>
            <w:r>
              <w:rPr>
                <w:b/>
              </w:rPr>
              <w:t>(17</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tcMar>
              <w:bottom w:w="28" w:type="dxa"/>
            </w:tcMar>
            <w:vAlign w:val="center"/>
          </w:tcPr>
          <w:p>
            <w:pPr>
              <w:pStyle w:val="TableContents"/>
              <w:bidi w:val="0"/>
              <w:spacing w:before="0" w:after="283"/>
              <w:jc w:val="right"/>
              <w:rPr/>
            </w:pPr>
            <w:r>
              <w:rPr/>
              <w:t>(40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70" w:type="dxa"/>
            <w:tcBorders>
              <w:bottom w:val="double" w:sz="6" w:space="0" w:color="000000"/>
            </w:tcBorders>
            <w:tcMar>
              <w:bottom w:w="28" w:type="dxa"/>
            </w:tcMar>
            <w:vAlign w:val="center"/>
          </w:tcPr>
          <w:p>
            <w:pPr>
              <w:pStyle w:val="TableContents"/>
              <w:bidi w:val="0"/>
              <w:spacing w:before="0" w:after="283"/>
              <w:jc w:val="right"/>
              <w:rPr>
                <w:b/>
              </w:rPr>
            </w:pPr>
            <w:r>
              <w:rPr>
                <w:b/>
              </w:rPr>
              <w:t>(46</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95" w:type="dxa"/>
            <w:tcBorders>
              <w:bottom w:val="double" w:sz="6" w:space="0" w:color="000000"/>
            </w:tcBorders>
            <w:tcMar>
              <w:bottom w:w="28" w:type="dxa"/>
            </w:tcMar>
            <w:vAlign w:val="center"/>
          </w:tcPr>
          <w:p>
            <w:pPr>
              <w:pStyle w:val="TableContents"/>
              <w:bidi w:val="0"/>
              <w:spacing w:before="0" w:after="283"/>
              <w:jc w:val="right"/>
              <w:rPr/>
            </w:pPr>
            <w:r>
              <w:rPr/>
              <w:t>(109</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tLeast" w:line="243" w:before="0" w:after="0"/>
        <w:ind w:left="360" w:right="0" w:hanging="360"/>
        <w:jc w:val="left"/>
        <w:rPr>
          <w:rFonts w:ascii="Times New Roman" w:hAnsi="Times New Roman"/>
          <w:sz w:val="24"/>
        </w:rPr>
      </w:pPr>
      <w:r>
        <w:rPr>
          <w:rFonts w:ascii="Times New Roman" w:hAnsi="Times New Roman"/>
          <w:i/>
          <w:sz w:val="16"/>
        </w:rPr>
        <w:t>(1)    </w:t>
      </w:r>
      <w:r>
        <w:rPr>
          <w:rFonts w:ascii="Times New Roman" w:hAnsi="Times New Roman"/>
          <w:sz w:val="16"/>
        </w:rPr>
        <w:t>Impact of hyperinflation includes the adverse impact of highly inflationary accounting for subsidiaries in Argentina where the functional currency was the Argentine Peso.</w:t>
      </w:r>
    </w:p>
    <w:p>
      <w:pPr>
        <w:pStyle w:val="TextBody"/>
        <w:bidi w:val="0"/>
        <w:spacing w:lineRule="atLeast" w:line="243" w:before="0" w:after="0"/>
        <w:ind w:left="360" w:right="0" w:hanging="360"/>
        <w:jc w:val="left"/>
        <w:rPr>
          <w:rFonts w:ascii="Times New Roman" w:hAnsi="Times New Roman"/>
          <w:sz w:val="24"/>
        </w:rPr>
      </w:pPr>
      <w:r>
        <w:rPr>
          <w:rFonts w:ascii="Times New Roman" w:hAnsi="Times New Roman"/>
          <w:i/>
          <w:sz w:val="16"/>
        </w:rPr>
        <w:t xml:space="preserve">(2)    </w:t>
      </w:r>
      <w:r>
        <w:rPr>
          <w:rFonts w:ascii="Times New Roman" w:hAnsi="Times New Roman"/>
          <w:sz w:val="16"/>
        </w:rPr>
        <w:t>Consists of estimated parent-allocated charges for the prior year merger which is required by GAAP as part of the carve-out financial statement process.</w:t>
      </w:r>
    </w:p>
    <w:p>
      <w:pPr>
        <w:pStyle w:val="TextBody"/>
        <w:bidi w:val="0"/>
        <w:spacing w:lineRule="atLeast" w:line="243" w:before="0" w:after="0"/>
        <w:ind w:left="360" w:right="0" w:hanging="360"/>
        <w:jc w:val="left"/>
        <w:rPr>
          <w:rFonts w:ascii="Times New Roman" w:hAnsi="Times New Roman"/>
          <w:sz w:val="24"/>
        </w:rPr>
      </w:pPr>
      <w:r>
        <w:rPr>
          <w:rFonts w:ascii="Times New Roman" w:hAnsi="Times New Roman"/>
          <w:i/>
          <w:sz w:val="16"/>
        </w:rPr>
        <w:t xml:space="preserve">(3)    </w:t>
      </w:r>
      <w:r>
        <w:rPr>
          <w:rFonts w:ascii="Times New Roman" w:hAnsi="Times New Roman"/>
          <w:sz w:val="16"/>
        </w:rPr>
        <w:t xml:space="preserve">Includes stock compensation expense and other non-cash items, including $3 million of Restructuring and other expenses </w:t>
      </w:r>
      <w:r>
        <w:rPr>
          <w:rFonts w:ascii="Times New Roman" w:hAnsi="Times New Roman"/>
          <w:spacing w:val="0"/>
          <w:sz w:val="16"/>
        </w:rPr>
        <w:t>in the two quarterly periods ended March 28, 2026 </w:t>
      </w:r>
      <w:r>
        <w:rPr>
          <w:rFonts w:ascii="Times New Roman" w:hAnsi="Times New Roman"/>
          <w:sz w:val="16"/>
        </w:rPr>
        <w:t>and $12 million of inventory step-up charges related to the prior year merger in the two quarterly periods ended March 29, 2025.</w:t>
      </w:r>
    </w:p>
    <w:p>
      <w:pPr>
        <w:pStyle w:val="TextBody"/>
        <w:bidi w:val="0"/>
        <w:spacing w:lineRule="atLeast" w:line="243" w:before="0" w:after="0"/>
        <w:ind w:left="360" w:right="0" w:hanging="360"/>
        <w:jc w:val="left"/>
        <w:rPr>
          <w:rFonts w:ascii="Times New Roman" w:hAnsi="Times New Roman"/>
          <w:sz w:val="24"/>
        </w:rPr>
      </w:pPr>
      <w:r>
        <w:rPr>
          <w:rFonts w:ascii="Times New Roman" w:hAnsi="Times New Roman"/>
          <w:i/>
          <w:sz w:val="16"/>
        </w:rPr>
        <w:t>(4)   </w:t>
      </w:r>
      <w:r>
        <w:rPr>
          <w:rFonts w:ascii="Times New Roman" w:hAnsi="Times New Roman"/>
          <w:sz w:val="16"/>
        </w:rPr>
        <w:t>Segment operating expenses include primarily cost of goods sold and selling, general and administrative expenses.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tbl>
      <w:tblPr>
        <w:tblW w:w="6255" w:type="dxa"/>
        <w:jc w:val="left"/>
        <w:tblInd w:w="0" w:type="dxa"/>
        <w:tblLayout w:type="fixed"/>
        <w:tblCellMar>
          <w:top w:w="0" w:type="dxa"/>
          <w:left w:w="0" w:type="dxa"/>
          <w:bottom w:w="0" w:type="dxa"/>
          <w:right w:w="0" w:type="dxa"/>
        </w:tblCellMar>
      </w:tblPr>
      <w:tblGrid>
        <w:gridCol w:w="3410"/>
        <w:gridCol w:w="90"/>
        <w:gridCol w:w="170"/>
        <w:gridCol w:w="290"/>
        <w:gridCol w:w="90"/>
        <w:gridCol w:w="90"/>
        <w:gridCol w:w="170"/>
        <w:gridCol w:w="290"/>
        <w:gridCol w:w="90"/>
        <w:gridCol w:w="90"/>
        <w:gridCol w:w="170"/>
        <w:gridCol w:w="410"/>
        <w:gridCol w:w="90"/>
        <w:gridCol w:w="90"/>
        <w:gridCol w:w="170"/>
        <w:gridCol w:w="410"/>
        <w:gridCol w:w="135"/>
      </w:tblGrid>
      <w:tr>
        <w:trPr/>
        <w:tc>
          <w:tcPr>
            <w:tcW w:w="34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b/>
              </w:rPr>
            </w:pPr>
            <w:r>
              <w:rPr>
                <w:b/>
              </w:rPr>
              <w:t>Depreciation and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Americas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290" w:type="dxa"/>
            <w:tcBorders/>
            <w:vAlign w:val="center"/>
          </w:tcPr>
          <w:p>
            <w:pPr>
              <w:pStyle w:val="TableContents"/>
              <w:bidi w:val="0"/>
              <w:spacing w:before="0" w:after="283"/>
              <w:jc w:val="right"/>
              <w:rPr>
                <w:b/>
              </w:rPr>
            </w:pPr>
            <w:r>
              <w:rPr>
                <w:b/>
              </w:rPr>
              <w:t>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0" w:type="dxa"/>
            <w:tcBorders/>
            <w:vAlign w:val="center"/>
          </w:tcPr>
          <w:p>
            <w:pPr>
              <w:pStyle w:val="TableContents"/>
              <w:bidi w:val="0"/>
              <w:spacing w:before="0" w:after="283"/>
              <w:jc w:val="right"/>
              <w:rPr/>
            </w:pPr>
            <w:r>
              <w:rPr/>
              <w:t>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410" w:type="dxa"/>
            <w:tcBorders/>
            <w:vAlign w:val="center"/>
          </w:tcPr>
          <w:p>
            <w:pPr>
              <w:pStyle w:val="TableContents"/>
              <w:bidi w:val="0"/>
              <w:spacing w:before="0" w:after="283"/>
              <w:jc w:val="right"/>
              <w:rPr>
                <w:b/>
              </w:rPr>
            </w:pPr>
            <w:r>
              <w:rPr>
                <w:b/>
              </w:rPr>
              <w:t>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0" w:type="dxa"/>
            <w:tcBorders/>
            <w:vAlign w:val="center"/>
          </w:tcPr>
          <w:p>
            <w:pPr>
              <w:pStyle w:val="TableContents"/>
              <w:bidi w:val="0"/>
              <w:spacing w:before="0" w:after="283"/>
              <w:jc w:val="right"/>
              <w:rPr/>
            </w:pPr>
            <w:r>
              <w:rPr/>
              <w:t>72</w:t>
            </w:r>
          </w:p>
        </w:tc>
        <w:tc>
          <w:tcPr>
            <w:tcW w:w="13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290" w:type="dxa"/>
            <w:tcBorders>
              <w:bottom w:val="single" w:sz="2" w:space="0" w:color="000000"/>
            </w:tcBorders>
            <w:tcMar>
              <w:bottom w:w="28" w:type="dxa"/>
            </w:tcMar>
            <w:vAlign w:val="center"/>
          </w:tcPr>
          <w:p>
            <w:pPr>
              <w:pStyle w:val="TableContents"/>
              <w:bidi w:val="0"/>
              <w:spacing w:before="0" w:after="283"/>
              <w:jc w:val="right"/>
              <w:rPr>
                <w:b/>
              </w:rPr>
            </w:pPr>
            <w:r>
              <w:rPr>
                <w:b/>
              </w:rPr>
              <w:t>20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290" w:type="dxa"/>
            <w:tcBorders>
              <w:bottom w:val="single" w:sz="2" w:space="0" w:color="000000"/>
            </w:tcBorders>
            <w:tcMar>
              <w:bottom w:w="28" w:type="dxa"/>
            </w:tcMar>
            <w:vAlign w:val="center"/>
          </w:tcPr>
          <w:p>
            <w:pPr>
              <w:pStyle w:val="TableContents"/>
              <w:bidi w:val="0"/>
              <w:spacing w:before="0" w:after="283"/>
              <w:jc w:val="right"/>
              <w:rPr/>
            </w:pPr>
            <w:r>
              <w:rPr/>
              <w:t>19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410" w:type="dxa"/>
            <w:tcBorders>
              <w:bottom w:val="single" w:sz="6" w:space="0" w:color="000000"/>
            </w:tcBorders>
            <w:tcMar>
              <w:bottom w:w="28" w:type="dxa"/>
            </w:tcMar>
            <w:vAlign w:val="center"/>
          </w:tcPr>
          <w:p>
            <w:pPr>
              <w:pStyle w:val="TableContents"/>
              <w:bidi w:val="0"/>
              <w:spacing w:before="0" w:after="283"/>
              <w:jc w:val="right"/>
              <w:rPr>
                <w:b/>
              </w:rPr>
            </w:pPr>
            <w:r>
              <w:rPr>
                <w:b/>
              </w:rPr>
              <w:t>40</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410" w:type="dxa"/>
            <w:tcBorders>
              <w:bottom w:val="single" w:sz="2" w:space="0" w:color="000000"/>
            </w:tcBorders>
            <w:tcMar>
              <w:bottom w:w="28" w:type="dxa"/>
            </w:tcMar>
            <w:vAlign w:val="center"/>
          </w:tcPr>
          <w:p>
            <w:pPr>
              <w:pStyle w:val="TableContents"/>
              <w:bidi w:val="0"/>
              <w:spacing w:before="0" w:after="283"/>
              <w:jc w:val="right"/>
              <w:rPr/>
            </w:pPr>
            <w:r>
              <w:rPr/>
              <w:t>39</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Total depreciation and amortization</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290" w:type="dxa"/>
            <w:tcBorders>
              <w:bottom w:val="double" w:sz="6" w:space="0" w:color="000000"/>
            </w:tcBorders>
            <w:tcMar>
              <w:bottom w:w="28" w:type="dxa"/>
            </w:tcMar>
            <w:vAlign w:val="center"/>
          </w:tcPr>
          <w:p>
            <w:pPr>
              <w:pStyle w:val="TableContents"/>
              <w:bidi w:val="0"/>
              <w:spacing w:before="0" w:after="283"/>
              <w:jc w:val="right"/>
              <w:rPr>
                <w:b/>
              </w:rPr>
            </w:pPr>
            <w:r>
              <w:rPr>
                <w:b/>
              </w:rPr>
              <w:t>51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290" w:type="dxa"/>
            <w:tcBorders>
              <w:bottom w:val="double" w:sz="6" w:space="0" w:color="000000"/>
            </w:tcBorders>
            <w:tcMar>
              <w:bottom w:w="28" w:type="dxa"/>
            </w:tcMar>
            <w:vAlign w:val="center"/>
          </w:tcPr>
          <w:p>
            <w:pPr>
              <w:pStyle w:val="TableContents"/>
              <w:bidi w:val="0"/>
              <w:spacing w:before="0" w:after="283"/>
              <w:jc w:val="right"/>
              <w:rPr/>
            </w:pPr>
            <w:r>
              <w:rPr/>
              <w:t>58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410" w:type="dxa"/>
            <w:tcBorders>
              <w:bottom w:val="double" w:sz="6" w:space="0" w:color="000000"/>
            </w:tcBorders>
            <w:tcMar>
              <w:bottom w:w="28" w:type="dxa"/>
            </w:tcMar>
            <w:vAlign w:val="center"/>
          </w:tcPr>
          <w:p>
            <w:pPr>
              <w:pStyle w:val="TableContents"/>
              <w:bidi w:val="0"/>
              <w:spacing w:before="0" w:after="283"/>
              <w:jc w:val="right"/>
              <w:rPr>
                <w:b/>
              </w:rPr>
            </w:pPr>
            <w:r>
              <w:rPr>
                <w:b/>
              </w:rPr>
              <w:t>100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10" w:type="dxa"/>
            <w:tcBorders>
              <w:bottom w:val="double" w:sz="6" w:space="0" w:color="000000"/>
            </w:tcBorders>
            <w:tcMar>
              <w:bottom w:w="28" w:type="dxa"/>
            </w:tcMar>
            <w:vAlign w:val="center"/>
          </w:tcPr>
          <w:p>
            <w:pPr>
              <w:pStyle w:val="TableContents"/>
              <w:bidi w:val="0"/>
              <w:spacing w:before="0" w:after="283"/>
              <w:jc w:val="right"/>
              <w:rPr/>
            </w:pPr>
            <w:r>
              <w:rPr/>
              <w:t>111</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Total assets and capital expenditures by segment are not disclosed as the CODM does not utilize these measures to evaluate segment performance or allocate resources and capital.</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Selected information by geographical region is presented in the following table:</w:t>
      </w:r>
      <w:r>
        <w:rPr>
          <w:rFonts w:ascii="Times New Roman" w:hAnsi="Times New Roman"/>
          <w:sz w:val="18"/>
        </w:rPr>
        <w:t xml:space="preserve"> </w:t>
      </w:r>
    </w:p>
    <w:tbl>
      <w:tblPr>
        <w:tblW w:w="10205" w:type="dxa"/>
        <w:jc w:val="left"/>
        <w:tblInd w:w="0" w:type="dxa"/>
        <w:tblLayout w:type="fixed"/>
        <w:tblCellMar>
          <w:top w:w="0" w:type="dxa"/>
          <w:left w:w="0" w:type="dxa"/>
          <w:bottom w:w="0" w:type="dxa"/>
          <w:right w:w="0" w:type="dxa"/>
        </w:tblCellMar>
      </w:tblPr>
      <w:tblGrid>
        <w:gridCol w:w="2460"/>
        <w:gridCol w:w="90"/>
        <w:gridCol w:w="170"/>
        <w:gridCol w:w="1612"/>
        <w:gridCol w:w="90"/>
        <w:gridCol w:w="90"/>
        <w:gridCol w:w="170"/>
        <w:gridCol w:w="1537"/>
        <w:gridCol w:w="90"/>
        <w:gridCol w:w="90"/>
        <w:gridCol w:w="170"/>
        <w:gridCol w:w="1612"/>
        <w:gridCol w:w="90"/>
        <w:gridCol w:w="90"/>
        <w:gridCol w:w="170"/>
        <w:gridCol w:w="1537"/>
        <w:gridCol w:w="137"/>
      </w:tblGrid>
      <w:tr>
        <w:trPr/>
        <w:tc>
          <w:tcPr>
            <w:tcW w:w="24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 </w:t>
            </w:r>
          </w:p>
        </w:tc>
      </w:tr>
      <w:tr>
        <w:trPr/>
        <w:tc>
          <w:tcPr>
            <w:tcW w:w="2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59"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sz w:val="4"/>
                <w:szCs w:val="4"/>
              </w:rPr>
            </w:pPr>
            <w:r>
              <w:rPr>
                <w:sz w:val="4"/>
                <w:szCs w:val="4"/>
              </w:rPr>
            </w:r>
          </w:p>
        </w:tc>
        <w:tc>
          <w:tcPr>
            <w:tcW w:w="380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Two Quarterly Periods Ended</w:t>
            </w:r>
          </w:p>
        </w:tc>
      </w:tr>
      <w:tr>
        <w:trPr/>
        <w:tc>
          <w:tcPr>
            <w:tcW w:w="24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12" w:type="dxa"/>
            <w:tcBorders>
              <w:bottom w:val="single" w:sz="2" w:space="0" w:color="000000"/>
            </w:tcBorders>
            <w:tcMar>
              <w:bottom w:w="28" w:type="dxa"/>
            </w:tcMar>
            <w:vAlign w:val="center"/>
          </w:tcPr>
          <w:p>
            <w:pPr>
              <w:pStyle w:val="TableContents"/>
              <w:bidi w:val="0"/>
              <w:spacing w:before="0" w:after="283"/>
              <w:jc w:val="center"/>
              <w:rPr>
                <w:b/>
              </w:rPr>
            </w:pPr>
            <w:r>
              <w:rPr>
                <w:b/>
              </w:rPr>
              <w:t>March 28,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7" w:type="dxa"/>
            <w:tcBorders>
              <w:bottom w:val="single" w:sz="2" w:space="0" w:color="000000"/>
            </w:tcBorders>
            <w:tcMar>
              <w:bottom w:w="28" w:type="dxa"/>
            </w:tcMar>
            <w:vAlign w:val="center"/>
          </w:tcPr>
          <w:p>
            <w:pPr>
              <w:pStyle w:val="TableContents"/>
              <w:bidi w:val="0"/>
              <w:spacing w:before="0" w:after="283"/>
              <w:jc w:val="center"/>
              <w:rPr/>
            </w:pPr>
            <w:r>
              <w:rPr/>
              <w:t>March 29, 2025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612" w:type="dxa"/>
            <w:tcBorders>
              <w:bottom w:val="single" w:sz="2" w:space="0" w:color="000000"/>
            </w:tcBorders>
            <w:tcMar>
              <w:bottom w:w="28" w:type="dxa"/>
            </w:tcMar>
            <w:vAlign w:val="center"/>
          </w:tcPr>
          <w:p>
            <w:pPr>
              <w:pStyle w:val="TableContents"/>
              <w:bidi w:val="0"/>
              <w:spacing w:before="0" w:after="283"/>
              <w:jc w:val="center"/>
              <w:rPr>
                <w:b/>
              </w:rPr>
            </w:pPr>
            <w:r>
              <w:rPr>
                <w:b/>
              </w:rPr>
              <w:t>March 28, 2026</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537" w:type="dxa"/>
            <w:tcBorders>
              <w:bottom w:val="single" w:sz="2" w:space="0" w:color="000000"/>
            </w:tcBorders>
            <w:tcMar>
              <w:bottom w:w="28" w:type="dxa"/>
            </w:tcMar>
            <w:vAlign w:val="center"/>
          </w:tcPr>
          <w:p>
            <w:pPr>
              <w:pStyle w:val="TableContents"/>
              <w:bidi w:val="0"/>
              <w:spacing w:before="0" w:after="283"/>
              <w:jc w:val="center"/>
              <w:rPr/>
            </w:pPr>
            <w:r>
              <w:rPr/>
              <w:t>March 29, 2025</w:t>
            </w:r>
          </w:p>
        </w:tc>
        <w:tc>
          <w:tcPr>
            <w:tcW w:w="137"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2460"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2460" w:type="dxa"/>
            <w:tcBorders/>
            <w:vAlign w:val="center"/>
          </w:tcPr>
          <w:p>
            <w:pPr>
              <w:pStyle w:val="TableContents"/>
              <w:bidi w:val="0"/>
              <w:spacing w:before="0" w:after="283"/>
              <w:jc w:val="left"/>
              <w:rPr/>
            </w:pPr>
            <w:r>
              <w:rPr/>
              <w:t>United States and Canada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612" w:type="dxa"/>
            <w:tcBorders/>
            <w:vAlign w:val="center"/>
          </w:tcPr>
          <w:p>
            <w:pPr>
              <w:pStyle w:val="TableContents"/>
              <w:bidi w:val="0"/>
              <w:spacing w:before="0" w:after="283"/>
              <w:jc w:val="right"/>
              <w:rPr>
                <w:b/>
              </w:rPr>
            </w:pPr>
            <w:r>
              <w:rPr>
                <w:b/>
              </w:rPr>
              <w:t>347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37" w:type="dxa"/>
            <w:tcBorders/>
            <w:vAlign w:val="center"/>
          </w:tcPr>
          <w:p>
            <w:pPr>
              <w:pStyle w:val="TableContents"/>
              <w:bidi w:val="0"/>
              <w:spacing w:before="0" w:after="283"/>
              <w:jc w:val="right"/>
              <w:rPr/>
            </w:pPr>
            <w:r>
              <w:rPr/>
              <w:t>367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1612" w:type="dxa"/>
            <w:tcBorders/>
            <w:vAlign w:val="center"/>
          </w:tcPr>
          <w:p>
            <w:pPr>
              <w:pStyle w:val="TableContents"/>
              <w:bidi w:val="0"/>
              <w:spacing w:before="0" w:after="283"/>
              <w:jc w:val="right"/>
              <w:rPr>
                <w:b/>
              </w:rPr>
            </w:pPr>
            <w:r>
              <w:rPr>
                <w:b/>
              </w:rPr>
              <w:t>688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37" w:type="dxa"/>
            <w:tcBorders/>
            <w:vAlign w:val="center"/>
          </w:tcPr>
          <w:p>
            <w:pPr>
              <w:pStyle w:val="TableContents"/>
              <w:bidi w:val="0"/>
              <w:spacing w:before="0" w:after="283"/>
              <w:jc w:val="right"/>
              <w:rPr/>
            </w:pPr>
            <w:r>
              <w:rPr/>
              <w:t>673</w:t>
            </w:r>
          </w:p>
        </w:tc>
        <w:tc>
          <w:tcPr>
            <w:tcW w:w="137" w:type="dxa"/>
            <w:tcBorders/>
            <w:vAlign w:val="center"/>
          </w:tcPr>
          <w:p>
            <w:pPr>
              <w:pStyle w:val="TableContents"/>
              <w:bidi w:val="0"/>
              <w:spacing w:before="0" w:after="283"/>
              <w:jc w:val="left"/>
              <w:rPr/>
            </w:pPr>
            <w:r>
              <w:rPr/>
              <w:t> </w:t>
            </w:r>
          </w:p>
        </w:tc>
      </w:tr>
      <w:tr>
        <w:trPr/>
        <w:tc>
          <w:tcPr>
            <w:tcW w:w="2460" w:type="dxa"/>
            <w:tcBorders/>
            <w:vAlign w:val="center"/>
          </w:tcPr>
          <w:p>
            <w:pPr>
              <w:pStyle w:val="TableContents"/>
              <w:bidi w:val="0"/>
              <w:spacing w:before="0" w:after="283"/>
              <w:jc w:val="left"/>
              <w:rPr/>
            </w:pPr>
            <w:r>
              <w:rPr/>
              <w:t>Latin America</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b/>
              </w:rPr>
            </w:pPr>
            <w:r>
              <w:rPr>
                <w:b/>
              </w:rPr>
              <w:t>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right"/>
              <w:rPr/>
            </w:pPr>
            <w:r>
              <w:rPr/>
              <w:t>106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612" w:type="dxa"/>
            <w:tcBorders/>
            <w:vAlign w:val="center"/>
          </w:tcPr>
          <w:p>
            <w:pPr>
              <w:pStyle w:val="TableContents"/>
              <w:bidi w:val="0"/>
              <w:spacing w:before="0" w:after="283"/>
              <w:jc w:val="right"/>
              <w:rPr>
                <w:b/>
              </w:rPr>
            </w:pPr>
            <w:r>
              <w:rPr>
                <w:b/>
              </w:rPr>
              <w:t>189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right"/>
              <w:rPr/>
            </w:pPr>
            <w:r>
              <w:rPr/>
              <w:t>220</w:t>
            </w:r>
          </w:p>
        </w:tc>
        <w:tc>
          <w:tcPr>
            <w:tcW w:w="137" w:type="dxa"/>
            <w:tcBorders/>
            <w:vAlign w:val="center"/>
          </w:tcPr>
          <w:p>
            <w:pPr>
              <w:pStyle w:val="TableContents"/>
              <w:bidi w:val="0"/>
              <w:spacing w:before="0" w:after="283"/>
              <w:jc w:val="left"/>
              <w:rPr/>
            </w:pPr>
            <w:r>
              <w:rPr/>
              <w:t> </w:t>
            </w:r>
          </w:p>
        </w:tc>
      </w:tr>
      <w:tr>
        <w:trPr/>
        <w:tc>
          <w:tcPr>
            <w:tcW w:w="2460" w:type="dxa"/>
            <w:tcBorders/>
            <w:vAlign w:val="center"/>
          </w:tcPr>
          <w:p>
            <w:pPr>
              <w:pStyle w:val="TableContents"/>
              <w:bidi w:val="0"/>
              <w:spacing w:before="0" w:after="283"/>
              <w:jc w:val="left"/>
              <w:rPr/>
            </w:pPr>
            <w:r>
              <w:rPr/>
              <w:t>Rest of World</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12" w:type="dxa"/>
            <w:tcBorders>
              <w:bottom w:val="single" w:sz="2" w:space="0" w:color="000000"/>
            </w:tcBorders>
            <w:tcMar>
              <w:bottom w:w="28" w:type="dxa"/>
            </w:tcMar>
            <w:vAlign w:val="center"/>
          </w:tcPr>
          <w:p>
            <w:pPr>
              <w:pStyle w:val="TableContents"/>
              <w:bidi w:val="0"/>
              <w:spacing w:before="0" w:after="283"/>
              <w:jc w:val="right"/>
              <w:rPr>
                <w:b/>
              </w:rPr>
            </w:pPr>
            <w:r>
              <w:rPr>
                <w:b/>
              </w:rPr>
              <w:t>359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37" w:type="dxa"/>
            <w:tcBorders>
              <w:bottom w:val="single" w:sz="2" w:space="0" w:color="000000"/>
            </w:tcBorders>
            <w:tcMar>
              <w:bottom w:w="28" w:type="dxa"/>
            </w:tcMar>
            <w:vAlign w:val="center"/>
          </w:tcPr>
          <w:p>
            <w:pPr>
              <w:pStyle w:val="TableContents"/>
              <w:bidi w:val="0"/>
              <w:spacing w:before="0" w:after="283"/>
              <w:jc w:val="right"/>
              <w:rPr/>
            </w:pPr>
            <w:r>
              <w:rPr/>
              <w:t>351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12" w:type="dxa"/>
            <w:tcBorders>
              <w:bottom w:val="single" w:sz="6" w:space="0" w:color="000000"/>
            </w:tcBorders>
            <w:tcMar>
              <w:bottom w:w="28" w:type="dxa"/>
            </w:tcMar>
            <w:vAlign w:val="center"/>
          </w:tcPr>
          <w:p>
            <w:pPr>
              <w:pStyle w:val="TableContents"/>
              <w:bidi w:val="0"/>
              <w:spacing w:before="0" w:after="283"/>
              <w:jc w:val="right"/>
              <w:rPr>
                <w:b/>
              </w:rPr>
            </w:pPr>
            <w:r>
              <w:rPr>
                <w:b/>
              </w:rPr>
              <w:t>711</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7" w:type="dxa"/>
            <w:tcBorders>
              <w:bottom w:val="single" w:sz="2" w:space="0" w:color="000000"/>
            </w:tcBorders>
            <w:tcMar>
              <w:bottom w:w="28" w:type="dxa"/>
            </w:tcMar>
            <w:vAlign w:val="center"/>
          </w:tcPr>
          <w:p>
            <w:pPr>
              <w:pStyle w:val="TableContents"/>
              <w:bidi w:val="0"/>
              <w:spacing w:before="0" w:after="283"/>
              <w:jc w:val="right"/>
              <w:rPr/>
            </w:pPr>
            <w:r>
              <w:rPr/>
              <w:t>633</w:t>
            </w:r>
          </w:p>
        </w:tc>
        <w:tc>
          <w:tcPr>
            <w:tcW w:w="13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460" w:type="dxa"/>
            <w:tcBorders/>
            <w:vAlign w:val="center"/>
          </w:tcPr>
          <w:p>
            <w:pPr>
              <w:pStyle w:val="TableContents"/>
              <w:bidi w:val="0"/>
              <w:spacing w:before="0" w:after="283"/>
              <w:jc w:val="left"/>
              <w:rPr/>
            </w:pPr>
            <w:r>
              <w:rPr/>
              <w:t>Total net sales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12" w:type="dxa"/>
            <w:tcBorders>
              <w:bottom w:val="double" w:sz="6" w:space="0" w:color="000000"/>
            </w:tcBorders>
            <w:tcMar>
              <w:bottom w:w="28" w:type="dxa"/>
            </w:tcMar>
            <w:vAlign w:val="center"/>
          </w:tcPr>
          <w:p>
            <w:pPr>
              <w:pStyle w:val="TableContents"/>
              <w:bidi w:val="0"/>
              <w:spacing w:before="0" w:after="283"/>
              <w:jc w:val="right"/>
              <w:rPr>
                <w:b/>
              </w:rPr>
            </w:pPr>
            <w:r>
              <w:rPr>
                <w:b/>
              </w:rPr>
              <w:t>796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37" w:type="dxa"/>
            <w:tcBorders>
              <w:bottom w:val="double" w:sz="6" w:space="0" w:color="000000"/>
            </w:tcBorders>
            <w:tcMar>
              <w:bottom w:w="28" w:type="dxa"/>
            </w:tcMar>
            <w:vAlign w:val="center"/>
          </w:tcPr>
          <w:p>
            <w:pPr>
              <w:pStyle w:val="TableContents"/>
              <w:bidi w:val="0"/>
              <w:spacing w:before="0" w:after="283"/>
              <w:jc w:val="right"/>
              <w:rPr/>
            </w:pPr>
            <w:r>
              <w:rPr/>
              <w:t>824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612" w:type="dxa"/>
            <w:tcBorders>
              <w:bottom w:val="double" w:sz="6" w:space="0" w:color="000000"/>
            </w:tcBorders>
            <w:tcMar>
              <w:bottom w:w="28" w:type="dxa"/>
            </w:tcMar>
            <w:vAlign w:val="center"/>
          </w:tcPr>
          <w:p>
            <w:pPr>
              <w:pStyle w:val="TableContents"/>
              <w:bidi w:val="0"/>
              <w:spacing w:before="0" w:after="283"/>
              <w:jc w:val="right"/>
              <w:rPr>
                <w:b/>
              </w:rPr>
            </w:pPr>
            <w:r>
              <w:rPr>
                <w:b/>
              </w:rPr>
              <w:t>1,588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37" w:type="dxa"/>
            <w:tcBorders>
              <w:bottom w:val="double" w:sz="6" w:space="0" w:color="000000"/>
            </w:tcBorders>
            <w:tcMar>
              <w:bottom w:w="28" w:type="dxa"/>
            </w:tcMar>
            <w:vAlign w:val="center"/>
          </w:tcPr>
          <w:p>
            <w:pPr>
              <w:pStyle w:val="TableContents"/>
              <w:bidi w:val="0"/>
              <w:spacing w:before="0" w:after="283"/>
              <w:jc w:val="right"/>
              <w:rPr/>
            </w:pPr>
            <w:r>
              <w:rPr/>
              <w:t>1,526</w:t>
            </w:r>
          </w:p>
        </w:tc>
        <w:tc>
          <w:tcPr>
            <w:tcW w:w="137"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Selected information by product line is presented in the following table:</w:t>
      </w:r>
    </w:p>
    <w:tbl>
      <w:tblPr>
        <w:tblW w:w="10205" w:type="dxa"/>
        <w:jc w:val="left"/>
        <w:tblInd w:w="0" w:type="dxa"/>
        <w:tblLayout w:type="fixed"/>
        <w:tblCellMar>
          <w:top w:w="0" w:type="dxa"/>
          <w:left w:w="0" w:type="dxa"/>
          <w:bottom w:w="0" w:type="dxa"/>
          <w:right w:w="0" w:type="dxa"/>
        </w:tblCellMar>
      </w:tblPr>
      <w:tblGrid>
        <w:gridCol w:w="1980"/>
        <w:gridCol w:w="90"/>
        <w:gridCol w:w="90"/>
        <w:gridCol w:w="1634"/>
        <w:gridCol w:w="290"/>
        <w:gridCol w:w="90"/>
        <w:gridCol w:w="90"/>
        <w:gridCol w:w="1559"/>
        <w:gridCol w:w="245"/>
        <w:gridCol w:w="90"/>
        <w:gridCol w:w="90"/>
        <w:gridCol w:w="1634"/>
        <w:gridCol w:w="290"/>
        <w:gridCol w:w="90"/>
        <w:gridCol w:w="90"/>
        <w:gridCol w:w="1559"/>
        <w:gridCol w:w="294"/>
      </w:tblGrid>
      <w:tr>
        <w:trPr/>
        <w:tc>
          <w:tcPr>
            <w:tcW w:w="19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 </w:t>
            </w:r>
          </w:p>
        </w:tc>
      </w:tr>
      <w:tr>
        <w:trPr/>
        <w:tc>
          <w:tcPr>
            <w:tcW w:w="1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98"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sz w:val="4"/>
                <w:szCs w:val="4"/>
              </w:rPr>
            </w:pPr>
            <w:r>
              <w:rPr>
                <w:sz w:val="4"/>
                <w:szCs w:val="4"/>
              </w:rPr>
            </w:r>
          </w:p>
        </w:tc>
        <w:tc>
          <w:tcPr>
            <w:tcW w:w="4047"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Two Quarterly Periods Ended</w:t>
            </w:r>
          </w:p>
        </w:tc>
      </w:tr>
      <w:tr>
        <w:trPr/>
        <w:tc>
          <w:tcPr>
            <w:tcW w:w="1980" w:type="dxa"/>
            <w:tcBorders/>
            <w:vAlign w:val="center"/>
          </w:tcPr>
          <w:p>
            <w:pPr>
              <w:pStyle w:val="TableContents"/>
              <w:bidi w:val="0"/>
              <w:spacing w:before="0" w:after="283"/>
              <w:jc w:val="left"/>
              <w:rPr/>
            </w:pPr>
            <w:r>
              <w:rPr/>
              <w:t>(in percentages)</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634" w:type="dxa"/>
            <w:tcBorders>
              <w:bottom w:val="single" w:sz="2" w:space="0" w:color="000000"/>
            </w:tcBorders>
            <w:tcMar>
              <w:bottom w:w="28" w:type="dxa"/>
            </w:tcMar>
            <w:vAlign w:val="center"/>
          </w:tcPr>
          <w:p>
            <w:pPr>
              <w:pStyle w:val="TableContents"/>
              <w:bidi w:val="0"/>
              <w:spacing w:before="0" w:after="283"/>
              <w:jc w:val="center"/>
              <w:rPr>
                <w:b/>
              </w:rPr>
            </w:pPr>
            <w:r>
              <w:rPr>
                <w:b/>
              </w:rPr>
              <w:t>March 28, 2026</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9" w:type="dxa"/>
            <w:tcBorders>
              <w:bottom w:val="single" w:sz="2" w:space="0" w:color="000000"/>
            </w:tcBorders>
            <w:tcMar>
              <w:bottom w:w="28" w:type="dxa"/>
            </w:tcMar>
            <w:vAlign w:val="center"/>
          </w:tcPr>
          <w:p>
            <w:pPr>
              <w:pStyle w:val="TableContents"/>
              <w:bidi w:val="0"/>
              <w:spacing w:before="0" w:after="283"/>
              <w:jc w:val="center"/>
              <w:rPr/>
            </w:pPr>
            <w:r>
              <w:rPr/>
              <w:t>March 29, 2025</w:t>
            </w:r>
          </w:p>
        </w:tc>
        <w:tc>
          <w:tcPr>
            <w:tcW w:w="24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634" w:type="dxa"/>
            <w:tcBorders>
              <w:bottom w:val="single" w:sz="2" w:space="0" w:color="000000"/>
            </w:tcBorders>
            <w:tcMar>
              <w:bottom w:w="28" w:type="dxa"/>
            </w:tcMar>
            <w:vAlign w:val="center"/>
          </w:tcPr>
          <w:p>
            <w:pPr>
              <w:pStyle w:val="TableContents"/>
              <w:bidi w:val="0"/>
              <w:spacing w:before="0" w:after="283"/>
              <w:jc w:val="center"/>
              <w:rPr>
                <w:b/>
              </w:rPr>
            </w:pPr>
            <w:r>
              <w:rPr>
                <w:b/>
              </w:rPr>
              <w:t>March 28, 2026</w:t>
            </w:r>
          </w:p>
        </w:tc>
        <w:tc>
          <w:tcPr>
            <w:tcW w:w="2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559" w:type="dxa"/>
            <w:tcBorders>
              <w:bottom w:val="single" w:sz="2" w:space="0" w:color="000000"/>
            </w:tcBorders>
            <w:tcMar>
              <w:bottom w:w="28" w:type="dxa"/>
            </w:tcMar>
            <w:vAlign w:val="center"/>
          </w:tcPr>
          <w:p>
            <w:pPr>
              <w:pStyle w:val="TableContents"/>
              <w:bidi w:val="0"/>
              <w:spacing w:before="0" w:after="283"/>
              <w:jc w:val="center"/>
              <w:rPr/>
            </w:pPr>
            <w:r>
              <w:rPr/>
              <w:t>March 29, 2025</w:t>
            </w:r>
          </w:p>
        </w:tc>
        <w:tc>
          <w:tcPr>
            <w:tcW w:w="294"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1980"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pPr>
            <w:r>
              <w:rPr/>
              <w:t> </w:t>
            </w:r>
          </w:p>
        </w:tc>
      </w:tr>
      <w:tr>
        <w:trPr/>
        <w:tc>
          <w:tcPr>
            <w:tcW w:w="1980" w:type="dxa"/>
            <w:tcBorders/>
            <w:vAlign w:val="center"/>
          </w:tcPr>
          <w:p>
            <w:pPr>
              <w:pStyle w:val="TableContents"/>
              <w:bidi w:val="0"/>
              <w:spacing w:before="0" w:after="283"/>
              <w:jc w:val="left"/>
              <w:rPr/>
            </w:pPr>
            <w:r>
              <w:rPr/>
              <w:t>Personal Care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right"/>
              <w:rPr>
                <w:b/>
              </w:rPr>
            </w:pPr>
            <w:r>
              <w:rPr>
                <w:b/>
              </w:rPr>
              <w:t>44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50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634" w:type="dxa"/>
            <w:tcBorders/>
            <w:vAlign w:val="center"/>
          </w:tcPr>
          <w:p>
            <w:pPr>
              <w:pStyle w:val="TableContents"/>
              <w:bidi w:val="0"/>
              <w:spacing w:before="0" w:after="283"/>
              <w:jc w:val="right"/>
              <w:rPr>
                <w:b/>
              </w:rPr>
            </w:pPr>
            <w:r>
              <w:rPr>
                <w:b/>
              </w:rPr>
              <w:t>44</w:t>
            </w:r>
          </w:p>
        </w:tc>
        <w:tc>
          <w:tcPr>
            <w:tcW w:w="290"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559" w:type="dxa"/>
            <w:tcBorders/>
            <w:vAlign w:val="center"/>
          </w:tcPr>
          <w:p>
            <w:pPr>
              <w:pStyle w:val="TableContents"/>
              <w:bidi w:val="0"/>
              <w:spacing w:before="0" w:after="283"/>
              <w:jc w:val="right"/>
              <w:rPr/>
            </w:pPr>
            <w:r>
              <w:rPr/>
              <w:t>52</w:t>
            </w:r>
          </w:p>
        </w:tc>
        <w:tc>
          <w:tcPr>
            <w:tcW w:w="294" w:type="dxa"/>
            <w:tcBorders/>
            <w:vAlign w:val="center"/>
          </w:tcPr>
          <w:p>
            <w:pPr>
              <w:pStyle w:val="TableContents"/>
              <w:bidi w:val="0"/>
              <w:spacing w:before="0" w:after="283"/>
              <w:jc w:val="left"/>
              <w:rPr/>
            </w:pPr>
            <w:r>
              <w:rPr/>
              <w:t>%</w:t>
            </w:r>
          </w:p>
        </w:tc>
      </w:tr>
      <w:tr>
        <w:trPr/>
        <w:tc>
          <w:tcPr>
            <w:tcW w:w="1980" w:type="dxa"/>
            <w:tcBorders/>
            <w:vAlign w:val="center"/>
          </w:tcPr>
          <w:p>
            <w:pPr>
              <w:pStyle w:val="TableContents"/>
              <w:bidi w:val="0"/>
              <w:spacing w:before="0" w:after="283"/>
              <w:jc w:val="left"/>
              <w:rPr/>
            </w:pPr>
            <w:r>
              <w:rPr/>
              <w:t>Consumer Solutions</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634" w:type="dxa"/>
            <w:tcBorders>
              <w:bottom w:val="single" w:sz="2" w:space="0" w:color="000000"/>
            </w:tcBorders>
            <w:tcMar>
              <w:bottom w:w="28" w:type="dxa"/>
            </w:tcMar>
            <w:vAlign w:val="center"/>
          </w:tcPr>
          <w:p>
            <w:pPr>
              <w:pStyle w:val="TableContents"/>
              <w:bidi w:val="0"/>
              <w:spacing w:before="0" w:after="283"/>
              <w:jc w:val="right"/>
              <w:rPr>
                <w:b/>
              </w:rPr>
            </w:pPr>
            <w:r>
              <w:rPr>
                <w:b/>
              </w:rPr>
              <w:t>56</w:t>
            </w:r>
          </w:p>
        </w:tc>
        <w:tc>
          <w:tcPr>
            <w:tcW w:w="290" w:type="dxa"/>
            <w:tcBorders>
              <w:bottom w:val="single" w:sz="2" w:space="0" w:color="000000"/>
            </w:tcBorders>
            <w:tcMar>
              <w:bottom w:w="28" w:type="dxa"/>
            </w:tcMar>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559" w:type="dxa"/>
            <w:tcBorders>
              <w:bottom w:val="single" w:sz="2" w:space="0" w:color="000000"/>
            </w:tcBorders>
            <w:tcMar>
              <w:bottom w:w="28" w:type="dxa"/>
            </w:tcMar>
            <w:vAlign w:val="center"/>
          </w:tcPr>
          <w:p>
            <w:pPr>
              <w:pStyle w:val="TableContents"/>
              <w:bidi w:val="0"/>
              <w:spacing w:before="0" w:after="283"/>
              <w:jc w:val="right"/>
              <w:rPr/>
            </w:pPr>
            <w:r>
              <w:rPr/>
              <w:t>50</w:t>
            </w:r>
          </w:p>
        </w:tc>
        <w:tc>
          <w:tcPr>
            <w:tcW w:w="245" w:type="dxa"/>
            <w:tcBorders>
              <w:bottom w:val="single" w:sz="2"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634" w:type="dxa"/>
            <w:tcBorders>
              <w:bottom w:val="single" w:sz="6" w:space="0" w:color="000000"/>
            </w:tcBorders>
            <w:tcMar>
              <w:bottom w:w="28" w:type="dxa"/>
            </w:tcMar>
            <w:vAlign w:val="center"/>
          </w:tcPr>
          <w:p>
            <w:pPr>
              <w:pStyle w:val="TableContents"/>
              <w:bidi w:val="0"/>
              <w:spacing w:before="0" w:after="283"/>
              <w:jc w:val="right"/>
              <w:rPr>
                <w:b/>
              </w:rPr>
            </w:pPr>
            <w:r>
              <w:rPr>
                <w:b/>
              </w:rPr>
              <w:t>56</w:t>
            </w:r>
          </w:p>
        </w:tc>
        <w:tc>
          <w:tcPr>
            <w:tcW w:w="29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9" w:type="dxa"/>
            <w:tcBorders>
              <w:bottom w:val="single" w:sz="2" w:space="0" w:color="000000"/>
            </w:tcBorders>
            <w:tcMar>
              <w:bottom w:w="28" w:type="dxa"/>
            </w:tcMar>
            <w:vAlign w:val="center"/>
          </w:tcPr>
          <w:p>
            <w:pPr>
              <w:pStyle w:val="TableContents"/>
              <w:bidi w:val="0"/>
              <w:spacing w:before="0" w:after="283"/>
              <w:jc w:val="right"/>
              <w:rPr/>
            </w:pPr>
            <w:r>
              <w:rPr/>
              <w:t>48</w:t>
            </w:r>
          </w:p>
        </w:tc>
        <w:tc>
          <w:tcPr>
            <w:tcW w:w="294" w:type="dxa"/>
            <w:tcBorders>
              <w:bottom w:val="single" w:sz="6" w:space="0" w:color="000000"/>
            </w:tcBorders>
            <w:tcMar>
              <w:bottom w:w="28" w:type="dxa"/>
            </w:tcMar>
            <w:vAlign w:val="center"/>
          </w:tcPr>
          <w:p>
            <w:pPr>
              <w:pStyle w:val="TableContents"/>
              <w:bidi w:val="0"/>
              <w:spacing w:before="0" w:after="283"/>
              <w:jc w:val="left"/>
              <w:rPr/>
            </w:pPr>
            <w:r>
              <w:rPr/>
              <w:t>%</w:t>
            </w:r>
          </w:p>
        </w:tc>
      </w:tr>
      <w:tr>
        <w:trPr/>
        <w:tc>
          <w:tcPr>
            <w:tcW w:w="1980" w:type="dxa"/>
            <w:tcBorders/>
            <w:vAlign w:val="center"/>
          </w:tcPr>
          <w:p>
            <w:pPr>
              <w:pStyle w:val="TableContents"/>
              <w:bidi w:val="0"/>
              <w:spacing w:before="0" w:after="283"/>
              <w:jc w:val="left"/>
              <w:rPr/>
            </w:pPr>
            <w:r>
              <w:rPr/>
              <w:t>Total net sales</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634" w:type="dxa"/>
            <w:tcBorders>
              <w:bottom w:val="double" w:sz="6" w:space="0" w:color="000000"/>
            </w:tcBorders>
            <w:tcMar>
              <w:bottom w:w="28" w:type="dxa"/>
            </w:tcMar>
            <w:vAlign w:val="center"/>
          </w:tcPr>
          <w:p>
            <w:pPr>
              <w:pStyle w:val="TableContents"/>
              <w:bidi w:val="0"/>
              <w:spacing w:before="0" w:after="283"/>
              <w:jc w:val="right"/>
              <w:rPr>
                <w:b/>
              </w:rPr>
            </w:pPr>
            <w:r>
              <w:rPr>
                <w:b/>
              </w:rPr>
              <w:t>100</w:t>
            </w:r>
          </w:p>
        </w:tc>
        <w:tc>
          <w:tcPr>
            <w:tcW w:w="29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559" w:type="dxa"/>
            <w:tcBorders>
              <w:bottom w:val="double" w:sz="6" w:space="0" w:color="000000"/>
            </w:tcBorders>
            <w:tcMar>
              <w:bottom w:w="28" w:type="dxa"/>
            </w:tcMar>
            <w:vAlign w:val="center"/>
          </w:tcPr>
          <w:p>
            <w:pPr>
              <w:pStyle w:val="TableContents"/>
              <w:bidi w:val="0"/>
              <w:spacing w:before="0" w:after="283"/>
              <w:jc w:val="right"/>
              <w:rPr/>
            </w:pPr>
            <w:r>
              <w:rPr/>
              <w:t>100</w:t>
            </w:r>
          </w:p>
        </w:tc>
        <w:tc>
          <w:tcPr>
            <w:tcW w:w="245" w:type="dxa"/>
            <w:tcBorders>
              <w:bottom w:val="double" w:sz="6"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634" w:type="dxa"/>
            <w:tcBorders>
              <w:bottom w:val="double" w:sz="6" w:space="0" w:color="000000"/>
            </w:tcBorders>
            <w:tcMar>
              <w:bottom w:w="28" w:type="dxa"/>
            </w:tcMar>
            <w:vAlign w:val="center"/>
          </w:tcPr>
          <w:p>
            <w:pPr>
              <w:pStyle w:val="TableContents"/>
              <w:bidi w:val="0"/>
              <w:spacing w:before="0" w:after="283"/>
              <w:jc w:val="right"/>
              <w:rPr>
                <w:b/>
              </w:rPr>
            </w:pPr>
            <w:r>
              <w:rPr>
                <w:b/>
              </w:rPr>
              <w:t>100</w:t>
            </w:r>
          </w:p>
        </w:tc>
        <w:tc>
          <w:tcPr>
            <w:tcW w:w="29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559" w:type="dxa"/>
            <w:tcBorders>
              <w:bottom w:val="double" w:sz="6" w:space="0" w:color="000000"/>
            </w:tcBorders>
            <w:tcMar>
              <w:bottom w:w="28" w:type="dxa"/>
            </w:tcMar>
            <w:vAlign w:val="center"/>
          </w:tcPr>
          <w:p>
            <w:pPr>
              <w:pStyle w:val="TableContents"/>
              <w:bidi w:val="0"/>
              <w:spacing w:before="0" w:after="283"/>
              <w:jc w:val="right"/>
              <w:rPr/>
            </w:pPr>
            <w:r>
              <w:rPr/>
              <w:t>100</w:t>
            </w:r>
          </w:p>
        </w:tc>
        <w:tc>
          <w:tcPr>
            <w:tcW w:w="294" w:type="dxa"/>
            <w:tcBorders>
              <w:bottom w:val="doub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9.         Contingencies and Commitments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b/>
          <w:i/>
          <w:color w:val="000000"/>
          <w:sz w:val="18"/>
        </w:rPr>
        <w:t>Litigation</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ind w:left="0" w:right="0" w:hanging="0"/>
        <w:jc w:val="left"/>
        <w:rPr>
          <w:rFonts w:ascii="Times New Roman" w:hAnsi="Times New Roman"/>
          <w:sz w:val="18"/>
        </w:rPr>
      </w:pPr>
      <w:r>
        <w:rPr>
          <w:rFonts w:ascii="Times New Roman" w:hAnsi="Times New Roman"/>
          <w:sz w:val="18"/>
        </w:rPr>
        <w:t>The Company is party to various legal proceedings involving routine claims which are incidental to its business.  Although the Company’s legal and financial liability with respect to such proceedings cannot be estimated with certainty, the Company believes that any ultimate liability would not be material to its Consolidated Balance Sheet, Consolidated and Combined Statements of Operations, or Cash Flows.</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color w:val="000000"/>
          <w:sz w:val="18"/>
        </w:rPr>
        <w:t>Environmental Claims</w:t>
      </w:r>
      <w:r>
        <w:rPr>
          <w:rFonts w:ascii="Times New Roman" w:hAnsi="Times New Roman"/>
          <w:sz w:val="18"/>
        </w:rPr>
        <w:t xml:space="preserve">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 xml:space="preserve">Over the next 29 years, we are primarily responsible for the reimbursement of government oversight costs associated with certain environmental claims regarding Fox River located in Wisconsin. At </w:t>
      </w:r>
      <w:r>
        <w:rPr>
          <w:rFonts w:ascii="Times New Roman" w:hAnsi="Times New Roman"/>
          <w:spacing w:val="0"/>
          <w:sz w:val="18"/>
        </w:rPr>
        <w:t>March 28, 2026</w:t>
      </w:r>
      <w:r>
        <w:rPr>
          <w:rFonts w:ascii="Times New Roman" w:hAnsi="Times New Roman"/>
          <w:sz w:val="18"/>
        </w:rPr>
        <w:t>, the outstanding balance of the environmental liability and corresponding escrow asset was $17 million and $9 million, respectively.</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color w:val="000000"/>
          <w:sz w:val="18"/>
        </w:rPr>
        <w:t>Tax Claims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ind w:left="0" w:right="0" w:hanging="0"/>
        <w:jc w:val="left"/>
        <w:rPr>
          <w:rFonts w:ascii="Times New Roman" w:hAnsi="Times New Roman"/>
          <w:sz w:val="18"/>
        </w:rPr>
      </w:pPr>
      <w:r>
        <w:rPr>
          <w:rFonts w:ascii="Times New Roman" w:hAnsi="Times New Roman"/>
          <w:sz w:val="18"/>
        </w:rPr>
        <w:t xml:space="preserve">As part of a previous acquisition, the Company acquired a liability related to certain tax claims. Depending on the resolution of the tax claims, the settlement has a range of outcomes that is not expected to exceed $63 million as of </w:t>
      </w:r>
      <w:r>
        <w:rPr>
          <w:rFonts w:ascii="Times New Roman" w:hAnsi="Times New Roman"/>
          <w:spacing w:val="0"/>
          <w:sz w:val="18"/>
        </w:rPr>
        <w:t>March 28, 2026,</w:t>
      </w:r>
      <w:r>
        <w:rPr>
          <w:rFonts w:ascii="Times New Roman" w:hAnsi="Times New Roman"/>
          <w:sz w:val="18"/>
        </w:rPr>
        <w:t xml:space="preserve"> with an eventual payment to the Brazilian government and/or the selling stockholders of the previous acquisition.  The Company has recorded an estimated tax liability on the Consolidated Balance Sheets in Other long-term liabilities as the settlement of existing and potential claims is expected to be greater than one year. </w:t>
      </w:r>
    </w:p>
    <w:p>
      <w:pPr>
        <w:pStyle w:val="TextBody"/>
        <w:bidi w:val="0"/>
        <w:spacing w:before="0" w:after="0"/>
        <w:ind w:left="0" w:right="0" w:hanging="54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12</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b/>
          <w:sz w:val="18"/>
        </w:rPr>
      </w:pPr>
      <w:r>
        <w:rPr>
          <w:rFonts w:ascii="Times New Roman" w:hAnsi="Times New Roman"/>
          <w:b/>
          <w:sz w:val="18"/>
        </w:rPr>
        <w:t>10.        Basic and Diluted Net Loss Per Share</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Basic net income or earnings per share ("EPS") is calculated by dividing the net income attributable to common stockholders by the weighted-average number of common shares outstanding during the period, without consideration for common stock equivalents.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following tables provide a reconciliation of the numerator and denominator of the basic and diluted EPS calculations: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98"/>
        <w:gridCol w:w="170"/>
        <w:gridCol w:w="1215"/>
        <w:gridCol w:w="125"/>
        <w:gridCol w:w="90"/>
        <w:gridCol w:w="170"/>
        <w:gridCol w:w="1140"/>
        <w:gridCol w:w="125"/>
        <w:gridCol w:w="90"/>
        <w:gridCol w:w="170"/>
        <w:gridCol w:w="1215"/>
        <w:gridCol w:w="125"/>
        <w:gridCol w:w="90"/>
        <w:gridCol w:w="170"/>
        <w:gridCol w:w="1140"/>
        <w:gridCol w:w="172"/>
      </w:tblGrid>
      <w:tr>
        <w:trPr/>
        <w:tc>
          <w:tcPr>
            <w:tcW w:w="39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 </w:t>
            </w:r>
          </w:p>
        </w:tc>
      </w:tr>
      <w:tr>
        <w:trPr/>
        <w:tc>
          <w:tcPr>
            <w:tcW w:w="3998" w:type="dxa"/>
            <w:tcBorders/>
            <w:vAlign w:val="center"/>
          </w:tcPr>
          <w:p>
            <w:pPr>
              <w:pStyle w:val="TableContents"/>
              <w:bidi w:val="0"/>
              <w:spacing w:before="0" w:after="283"/>
              <w:jc w:val="left"/>
              <w:rPr/>
            </w:pPr>
            <w:r>
              <w:rPr/>
              <w:t> </w:t>
            </w:r>
          </w:p>
        </w:tc>
        <w:tc>
          <w:tcPr>
            <w:tcW w:w="303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sz w:val="4"/>
                <w:szCs w:val="4"/>
              </w:rPr>
            </w:pPr>
            <w:r>
              <w:rPr>
                <w:sz w:val="4"/>
                <w:szCs w:val="4"/>
              </w:rPr>
            </w:r>
          </w:p>
        </w:tc>
        <w:tc>
          <w:tcPr>
            <w:tcW w:w="3082"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Two Quarterly Periods Ended</w:t>
            </w:r>
          </w:p>
        </w:tc>
      </w:tr>
      <w:tr>
        <w:trPr/>
        <w:tc>
          <w:tcPr>
            <w:tcW w:w="3998" w:type="dxa"/>
            <w:tcBorders/>
            <w:vAlign w:val="center"/>
          </w:tcPr>
          <w:p>
            <w:pPr>
              <w:pStyle w:val="TableContents"/>
              <w:bidi w:val="0"/>
              <w:spacing w:before="0" w:after="283"/>
              <w:jc w:val="left"/>
              <w:rPr/>
            </w:pPr>
            <w:r>
              <w:rPr/>
              <w:t xml:space="preserve">(in millions)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5" w:type="dxa"/>
            <w:tcBorders>
              <w:bottom w:val="single" w:sz="2" w:space="0" w:color="000000"/>
            </w:tcBorders>
            <w:tcMar>
              <w:bottom w:w="28" w:type="dxa"/>
            </w:tcMar>
            <w:vAlign w:val="center"/>
          </w:tcPr>
          <w:p>
            <w:pPr>
              <w:pStyle w:val="TableContents"/>
              <w:bidi w:val="0"/>
              <w:spacing w:before="0" w:after="283"/>
              <w:jc w:val="center"/>
              <w:rPr>
                <w:b/>
              </w:rPr>
            </w:pPr>
            <w:r>
              <w:rPr>
                <w:b/>
              </w:rPr>
              <w:t>March 28, 2026</w:t>
            </w:r>
          </w:p>
        </w:tc>
        <w:tc>
          <w:tcPr>
            <w:tcW w:w="12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0" w:type="dxa"/>
            <w:tcBorders>
              <w:bottom w:val="single" w:sz="2" w:space="0" w:color="000000"/>
            </w:tcBorders>
            <w:tcMar>
              <w:bottom w:w="28" w:type="dxa"/>
            </w:tcMar>
            <w:vAlign w:val="center"/>
          </w:tcPr>
          <w:p>
            <w:pPr>
              <w:pStyle w:val="TableContents"/>
              <w:bidi w:val="0"/>
              <w:spacing w:before="0" w:after="283"/>
              <w:jc w:val="center"/>
              <w:rPr/>
            </w:pPr>
            <w:r>
              <w:rPr/>
              <w:t>March 29, 2025</w:t>
            </w:r>
          </w:p>
        </w:tc>
        <w:tc>
          <w:tcPr>
            <w:tcW w:w="12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15" w:type="dxa"/>
            <w:tcBorders>
              <w:bottom w:val="single" w:sz="2" w:space="0" w:color="000000"/>
            </w:tcBorders>
            <w:tcMar>
              <w:bottom w:w="28" w:type="dxa"/>
            </w:tcMar>
            <w:vAlign w:val="center"/>
          </w:tcPr>
          <w:p>
            <w:pPr>
              <w:pStyle w:val="TableContents"/>
              <w:bidi w:val="0"/>
              <w:spacing w:before="0" w:after="283"/>
              <w:jc w:val="center"/>
              <w:rPr>
                <w:b/>
              </w:rPr>
            </w:pPr>
            <w:r>
              <w:rPr>
                <w:b/>
              </w:rPr>
              <w:t>March 28, 2026</w:t>
            </w:r>
          </w:p>
        </w:tc>
        <w:tc>
          <w:tcPr>
            <w:tcW w:w="125"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40" w:type="dxa"/>
            <w:tcBorders>
              <w:bottom w:val="single" w:sz="2" w:space="0" w:color="000000"/>
            </w:tcBorders>
            <w:tcMar>
              <w:bottom w:w="28" w:type="dxa"/>
            </w:tcMar>
            <w:vAlign w:val="center"/>
          </w:tcPr>
          <w:p>
            <w:pPr>
              <w:pStyle w:val="TableContents"/>
              <w:bidi w:val="0"/>
              <w:spacing w:before="0" w:after="283"/>
              <w:jc w:val="center"/>
              <w:rPr/>
            </w:pPr>
            <w:r>
              <w:rPr/>
              <w:t>March 29, 2025</w:t>
            </w:r>
          </w:p>
        </w:tc>
        <w:tc>
          <w:tcPr>
            <w:tcW w:w="172"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3998" w:type="dxa"/>
            <w:tcBorders/>
            <w:vAlign w:val="center"/>
          </w:tcPr>
          <w:p>
            <w:pPr>
              <w:pStyle w:val="TableContents"/>
              <w:bidi w:val="0"/>
              <w:spacing w:before="0" w:after="283"/>
              <w:jc w:val="left"/>
              <w:rPr>
                <w:b/>
              </w:rPr>
            </w:pPr>
            <w:r>
              <w:rPr>
                <w:b/>
              </w:rPr>
              <w:t xml:space="preserve">Numerator </w:t>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998" w:type="dxa"/>
            <w:tcBorders/>
            <w:vAlign w:val="center"/>
          </w:tcPr>
          <w:p>
            <w:pPr>
              <w:pStyle w:val="TableContents"/>
              <w:bidi w:val="0"/>
              <w:spacing w:before="0" w:after="283"/>
              <w:jc w:val="left"/>
              <w:rPr/>
            </w:pPr>
            <w:r>
              <w:rPr/>
              <w:t>Consolidated net loss</w:t>
            </w:r>
          </w:p>
        </w:tc>
        <w:tc>
          <w:tcPr>
            <w:tcW w:w="170"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jc w:val="right"/>
              <w:rPr>
                <w:b/>
              </w:rPr>
            </w:pPr>
            <w:r>
              <w:rPr>
                <w:b/>
              </w:rPr>
              <w:t>(18</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(41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1215" w:type="dxa"/>
            <w:tcBorders/>
            <w:vAlign w:val="center"/>
          </w:tcPr>
          <w:p>
            <w:pPr>
              <w:pStyle w:val="TableContents"/>
              <w:bidi w:val="0"/>
              <w:spacing w:before="0" w:after="283"/>
              <w:jc w:val="right"/>
              <w:rPr>
                <w:b/>
              </w:rPr>
            </w:pPr>
            <w:r>
              <w:rPr>
                <w:b/>
              </w:rPr>
              <w:t>(52</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(101</w:t>
            </w:r>
          </w:p>
        </w:tc>
        <w:tc>
          <w:tcPr>
            <w:tcW w:w="172" w:type="dxa"/>
            <w:tcBorders/>
            <w:vAlign w:val="center"/>
          </w:tcPr>
          <w:p>
            <w:pPr>
              <w:pStyle w:val="TableContents"/>
              <w:bidi w:val="0"/>
              <w:spacing w:before="0" w:after="283"/>
              <w:jc w:val="left"/>
              <w:rPr/>
            </w:pPr>
            <w:r>
              <w:rPr/>
              <w:t>)</w:t>
            </w:r>
          </w:p>
        </w:tc>
      </w:tr>
      <w:tr>
        <w:trPr/>
        <w:tc>
          <w:tcPr>
            <w:tcW w:w="3998" w:type="dxa"/>
            <w:tcBorders/>
            <w:vAlign w:val="center"/>
          </w:tcPr>
          <w:p>
            <w:pPr>
              <w:pStyle w:val="TableContents"/>
              <w:bidi w:val="0"/>
              <w:spacing w:before="0" w:after="283"/>
              <w:jc w:val="left"/>
              <w:rPr>
                <w:b/>
              </w:rPr>
            </w:pPr>
            <w:r>
              <w:rPr>
                <w:b/>
              </w:rPr>
              <w:t xml:space="preserve">Denominator </w:t>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998" w:type="dxa"/>
            <w:tcBorders/>
            <w:vAlign w:val="center"/>
          </w:tcPr>
          <w:p>
            <w:pPr>
              <w:pStyle w:val="TableContents"/>
              <w:bidi w:val="0"/>
              <w:spacing w:before="0" w:after="283"/>
              <w:jc w:val="left"/>
              <w:rPr/>
            </w:pPr>
            <w:r>
              <w:rPr/>
              <w:t>Weighted average common shares outstanding - basic and dilutive</w:t>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b/>
              </w:rPr>
            </w:pPr>
            <w:r>
              <w:rPr>
                <w:b/>
              </w:rPr>
              <w:t>35.9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35.6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right"/>
              <w:rPr>
                <w:b/>
              </w:rPr>
            </w:pPr>
            <w:r>
              <w:rPr>
                <w:b/>
              </w:rPr>
              <w:t>35.8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35.5</w:t>
            </w:r>
          </w:p>
        </w:tc>
        <w:tc>
          <w:tcPr>
            <w:tcW w:w="172" w:type="dxa"/>
            <w:tcBorders/>
            <w:vAlign w:val="center"/>
          </w:tcPr>
          <w:p>
            <w:pPr>
              <w:pStyle w:val="TableContents"/>
              <w:bidi w:val="0"/>
              <w:spacing w:before="0" w:after="283"/>
              <w:jc w:val="left"/>
              <w:rPr/>
            </w:pPr>
            <w:r>
              <w:rPr/>
              <w:t> </w:t>
            </w:r>
          </w:p>
        </w:tc>
      </w:tr>
      <w:tr>
        <w:trPr/>
        <w:tc>
          <w:tcPr>
            <w:tcW w:w="399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998" w:type="dxa"/>
            <w:tcBorders/>
            <w:vAlign w:val="center"/>
          </w:tcPr>
          <w:p>
            <w:pPr>
              <w:pStyle w:val="TableContents"/>
              <w:bidi w:val="0"/>
              <w:spacing w:before="0" w:after="283"/>
              <w:jc w:val="left"/>
              <w:rPr/>
            </w:pPr>
            <w:r>
              <w:rPr/>
              <w:t>Net loss per share:</w:t>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998" w:type="dxa"/>
            <w:tcBorders/>
            <w:vAlign w:val="center"/>
          </w:tcPr>
          <w:p>
            <w:pPr>
              <w:pStyle w:val="TableContents"/>
              <w:bidi w:val="0"/>
              <w:spacing w:before="0" w:after="283"/>
              <w:jc w:val="left"/>
              <w:rPr>
                <w:b/>
              </w:rPr>
            </w:pPr>
            <w:r>
              <w:rPr>
                <w:b/>
              </w:rPr>
              <w:t>Basic and diluted</w:t>
            </w:r>
          </w:p>
        </w:tc>
        <w:tc>
          <w:tcPr>
            <w:tcW w:w="170" w:type="dxa"/>
            <w:tcBorders/>
            <w:vAlign w:val="center"/>
          </w:tcPr>
          <w:p>
            <w:pPr>
              <w:pStyle w:val="TableContents"/>
              <w:bidi w:val="0"/>
              <w:spacing w:before="0" w:after="283"/>
              <w:jc w:val="left"/>
              <w:rPr/>
            </w:pPr>
            <w:r>
              <w:rPr/>
              <w:t>$</w:t>
            </w:r>
          </w:p>
        </w:tc>
        <w:tc>
          <w:tcPr>
            <w:tcW w:w="1215" w:type="dxa"/>
            <w:tcBorders/>
            <w:vAlign w:val="center"/>
          </w:tcPr>
          <w:p>
            <w:pPr>
              <w:pStyle w:val="TableContents"/>
              <w:bidi w:val="0"/>
              <w:spacing w:before="0" w:after="283"/>
              <w:jc w:val="right"/>
              <w:rPr>
                <w:b/>
              </w:rPr>
            </w:pPr>
            <w:r>
              <w:rPr>
                <w:b/>
              </w:rPr>
              <w:t>(0.50</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(1.15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1215" w:type="dxa"/>
            <w:tcBorders/>
            <w:vAlign w:val="center"/>
          </w:tcPr>
          <w:p>
            <w:pPr>
              <w:pStyle w:val="TableContents"/>
              <w:bidi w:val="0"/>
              <w:spacing w:before="0" w:after="283"/>
              <w:jc w:val="right"/>
              <w:rPr>
                <w:b/>
              </w:rPr>
            </w:pPr>
            <w:r>
              <w:rPr>
                <w:b/>
              </w:rPr>
              <w:t>(1.45</w:t>
            </w:r>
          </w:p>
        </w:tc>
        <w:tc>
          <w:tcPr>
            <w:tcW w:w="12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(2.85</w:t>
            </w:r>
          </w:p>
        </w:tc>
        <w:tc>
          <w:tcPr>
            <w:tcW w:w="172" w:type="dxa"/>
            <w:tcBorders/>
            <w:vAlign w:val="center"/>
          </w:tcPr>
          <w:p>
            <w:pPr>
              <w:pStyle w:val="TableContents"/>
              <w:bidi w:val="0"/>
              <w:spacing w:before="0" w:after="283"/>
              <w:jc w:val="left"/>
              <w:rPr/>
            </w:pPr>
            <w:r>
              <w:rPr/>
              <w:t>)</w:t>
            </w:r>
          </w:p>
        </w:tc>
      </w:tr>
    </w:tbl>
    <w:p>
      <w:pPr>
        <w:pStyle w:val="TextBody"/>
        <w:bidi w:val="0"/>
        <w:spacing w:before="0" w:after="0"/>
        <w:jc w:val="left"/>
        <w:rPr/>
      </w:pPr>
      <w:r>
        <w:rPr>
          <w:color w:val="000000"/>
        </w:rPr>
        <w:t> </w:t>
      </w:r>
      <w:r>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Shares excluded from the current period calculation, as the effect of their conversion into shares of our common stock would be antidilutive were 2.4 million.</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13</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18"/>
        </w:rPr>
      </w:pPr>
      <w:bookmarkStart w:id="9" w:name="Section23"/>
      <w:bookmarkEnd w:id="9"/>
      <w:r>
        <w:rPr>
          <w:rFonts w:ascii="Times New Roman" w:hAnsi="Times New Roman"/>
          <w:b/>
          <w:sz w:val="18"/>
        </w:rPr>
        <w:t>Item 2.  Management’s Discussion and Analysis of Financial Condition and Results of Operations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sz w:val="18"/>
        </w:rPr>
        <w:t>Executive Summary</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 xml:space="preserve">Business. </w:t>
      </w:r>
      <w:r>
        <w:rPr>
          <w:rFonts w:ascii="Times New Roman" w:hAnsi="Times New Roman"/>
          <w:sz w:val="18"/>
        </w:rPr>
        <w:t xml:space="preserve">The Company’s operations are organized into two operating and reportable segments: Americas and Rest of World. The structure is designed to align us with our customers, provide improved service, enable future growth initiatives and efficiency of decision making to facilitate synergy realization. The Americas segment consists of sites in North America and South America that manufacture a wide range of products and components of personal care and consumer solution products and components of products including medical garments, wipes, dryer sheets, filtration, baby diapers and adult incontinence. The Rest of World segment consists of sites throughout Europe and China that manufacture a broad collection of personal care and consumer solution products and components of products including tea bags, coffee filters, wipes, cable wrap, filtration, baby diapers and adult incontinence.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Raw Material Trends.</w:t>
      </w:r>
      <w:r>
        <w:rPr>
          <w:rFonts w:ascii="Times New Roman" w:hAnsi="Times New Roman"/>
          <w:sz w:val="18"/>
        </w:rPr>
        <w:t>  Our primary raw materials are polymer resin, wood-based fibers, and pulps. In addition, we use other materials in various manufacturing processes. While temporary industry-wide shortages of raw materials have occurred, we have historically been able to manage the supply chain disruption by working closely with our suppliers and customers. Changes in the price of raw materials are generally passed on to customers through contractual price mechanisms over time, during contract renewals, and by other means.</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Outlook. </w:t>
      </w:r>
      <w:r>
        <w:rPr>
          <w:rFonts w:ascii="Times New Roman" w:hAnsi="Times New Roman"/>
          <w:sz w:val="18"/>
        </w:rPr>
        <w:t>The Company is affected by general economic and industrial growth, raw material availability, cost inflation, supply chain disruptions, new and changing tariffs and general industrial production. Our business has both geographic and end market diversity, which reduces the effect of any one of these factors on our overall performance. Our results are affected by our ability to pass through raw material and other cost changes, including tariffs, to our customers, improve manufacturing productivity and adapt to volume changes of our customers. Despite global macro-economic challenges and uncertainties attributed to inflation, changing tariff policies and general market softness, we continue to believe our underlying long-term demand fundamental in all segments will remain strong as we focus on providing advantaged products in targeted markets. For fiscal year 2026 ("fiscal 2026"), we project cash from operations between $170 to $190 million and free cash flow between $90 to $110 million. Projected fiscal 2026 free cash flow assumes $80 million of capital spending.</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Acquisition Strategy</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As part of our growth strategy, we intend to pursue additional acquisition targets. Our acquisition strategy is focused on identifying attractive assets that will support improving our long-term financial performance, enhancing our market positions, and expanding our existing and complementary product lines. We seek to obtain businesses for attractive post-synergy multiples, creating value for our stockholders from synergy realization, leveraging the acquired products across our customer base, creating new platforms for future growth, and assuming best practices from the businesses we acquire. While the expected benefits to earnings will be estimated at the commencement of each transaction, once the execution of the plan and integration occur, we may be unable to accurately estimate or track what the ultimate effects will be due to system integrations and movements of activities to multiple facilities.</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i/>
          <w:sz w:val="18"/>
        </w:rPr>
      </w:pPr>
      <w:r>
        <w:rPr>
          <w:rFonts w:ascii="Times New Roman" w:hAnsi="Times New Roman"/>
          <w:b/>
          <w:i/>
          <w:sz w:val="18"/>
        </w:rPr>
        <w:t>Non-GAAP Measures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We use certain non-GAAP financial measures in our disclosures. Adjusted EBITDA is the primary measure of profit (loss) used by the CODM, our CEO, to evaluate performance and allocate resources among our reportable segments. Adjusted EBITDA is a non-GAAP financial measure and may be calculated differently by other companies, including those in our industry or peer group, which may limit its usefulness for comparative purposes. Adjusted EBITDA should not be considered an alternative to any financial measure determined in accordance with GAAP. See Note 8 to the Consolidated and Combined Financial Statements for the definition of, and additional information regarding, Adjusted EBITDA.</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We also use free cash flow metrics as a supplemental measure of liquidity, as they assist us in assessing our ability to fund growth through cash generation. Free cash flow metrics are non-GAAP financial measures and may be calculated differently by other companies, including those in our industry or peer group, which may limit their usefulness for comparative purposes. Free cash flow metrics should not be considered an alternative to any financial measure determined in accordance with GAAP. See “Liquidity and Capital Resources–Free Cash flow” for the definition and calculation of free cash flow for the quarter ended March 28, 2026.</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14</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Results of Operations</w:t>
      </w:r>
    </w:p>
    <w:p>
      <w:pPr>
        <w:pStyle w:val="TextBody"/>
        <w:bidi w:val="0"/>
        <w:spacing w:before="0" w:after="0"/>
        <w:jc w:val="left"/>
        <w:rPr/>
      </w:pPr>
      <w:r>
        <w:rPr/>
        <w:t> </w:t>
      </w:r>
    </w:p>
    <w:p>
      <w:pPr>
        <w:pStyle w:val="TextBody"/>
        <w:bidi w:val="0"/>
        <w:spacing w:before="0" w:after="0"/>
        <w:jc w:val="left"/>
        <w:rPr>
          <w:rFonts w:ascii="Times New Roman" w:hAnsi="Times New Roman"/>
          <w:b/>
          <w:spacing w:val="0"/>
          <w:sz w:val="18"/>
        </w:rPr>
      </w:pPr>
      <w:r>
        <w:rPr>
          <w:rFonts w:ascii="Times New Roman" w:hAnsi="Times New Roman"/>
          <w:b/>
          <w:spacing w:val="0"/>
          <w:sz w:val="18"/>
        </w:rPr>
        <w:t>Comparison of the Quarterly Period Ended March 28, 2026 (the “Quarter”) and the Quarterly Period Ended March 29, 2025 (the “Prior Quarter”)</w:t>
      </w:r>
    </w:p>
    <w:p>
      <w:pPr>
        <w:pStyle w:val="TextBody"/>
        <w:bidi w:val="0"/>
        <w:spacing w:before="0" w:after="0"/>
        <w:jc w:val="left"/>
        <w:rPr/>
      </w:pPr>
      <w:r>
        <w:rPr/>
        <w:t> </w:t>
      </w:r>
    </w:p>
    <w:p>
      <w:pPr>
        <w:pStyle w:val="TextBody"/>
        <w:bidi w:val="0"/>
        <w:spacing w:before="0" w:after="0"/>
        <w:jc w:val="left"/>
        <w:rPr>
          <w:rFonts w:ascii="Times New Roman" w:hAnsi="Times New Roman"/>
          <w:i/>
          <w:spacing w:val="0"/>
          <w:sz w:val="18"/>
        </w:rPr>
      </w:pPr>
      <w:r>
        <w:rPr>
          <w:rFonts w:ascii="Times New Roman" w:hAnsi="Times New Roman"/>
          <w:i/>
          <w:spacing w:val="0"/>
          <w:sz w:val="18"/>
        </w:rPr>
        <w:t>Business integration expenses consist of restructuring and impairment charges, acquisition/merger related costs, and other business optimization costs.  Tables present dollars in millions.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b/>
          <w:i/>
          <w:sz w:val="18"/>
        </w:rPr>
        <w:t>Consolidated Overview</w:t>
      </w:r>
      <w:r>
        <w:rPr>
          <w:rFonts w:ascii="Times New Roman" w:hAnsi="Times New Roman"/>
          <w:sz w:val="18"/>
        </w:rPr>
        <w:t xml:space="preserve"> </w:t>
      </w:r>
    </w:p>
    <w:tbl>
      <w:tblPr>
        <w:tblW w:w="7666" w:type="dxa"/>
        <w:jc w:val="left"/>
        <w:tblInd w:w="0" w:type="dxa"/>
        <w:tblLayout w:type="fixed"/>
        <w:tblCellMar>
          <w:top w:w="0" w:type="dxa"/>
          <w:left w:w="0" w:type="dxa"/>
          <w:bottom w:w="0" w:type="dxa"/>
          <w:right w:w="0" w:type="dxa"/>
        </w:tblCellMar>
      </w:tblPr>
      <w:tblGrid>
        <w:gridCol w:w="1820"/>
        <w:gridCol w:w="170"/>
        <w:gridCol w:w="935"/>
        <w:gridCol w:w="90"/>
        <w:gridCol w:w="90"/>
        <w:gridCol w:w="170"/>
        <w:gridCol w:w="1355"/>
        <w:gridCol w:w="90"/>
        <w:gridCol w:w="90"/>
        <w:gridCol w:w="170"/>
        <w:gridCol w:w="1025"/>
        <w:gridCol w:w="90"/>
        <w:gridCol w:w="90"/>
        <w:gridCol w:w="91"/>
        <w:gridCol w:w="1100"/>
        <w:gridCol w:w="290"/>
      </w:tblGrid>
      <w:tr>
        <w:trPr/>
        <w:tc>
          <w:tcPr>
            <w:tcW w:w="18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35" w:type="dxa"/>
            <w:tcBorders>
              <w:bottom w:val="single" w:sz="2" w:space="0" w:color="000000"/>
            </w:tcBorders>
            <w:tcMar>
              <w:bottom w:w="28" w:type="dxa"/>
            </w:tcMar>
            <w:vAlign w:val="center"/>
          </w:tcPr>
          <w:p>
            <w:pPr>
              <w:pStyle w:val="TableContents"/>
              <w:bidi w:val="0"/>
              <w:spacing w:before="0" w:after="283"/>
              <w:jc w:val="center"/>
              <w:rPr/>
            </w:pPr>
            <w:r>
              <w:rPr>
                <w:b/>
              </w:rPr>
              <w:t>Quarter</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355" w:type="dxa"/>
            <w:tcBorders>
              <w:bottom w:val="single" w:sz="8" w:space="0" w:color="000000"/>
            </w:tcBorders>
            <w:tcMar>
              <w:bottom w:w="28" w:type="dxa"/>
            </w:tcMar>
            <w:vAlign w:val="center"/>
          </w:tcPr>
          <w:p>
            <w:pPr>
              <w:pStyle w:val="TableContents"/>
              <w:bidi w:val="0"/>
              <w:spacing w:before="0" w:after="283"/>
              <w:jc w:val="center"/>
              <w:rPr/>
            </w:pPr>
            <w:r>
              <w:rPr/>
              <w:t xml:space="preserve">Prior Quarter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t xml:space="preserve">$ Change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t xml:space="preserve">% Change </w:t>
            </w:r>
          </w:p>
        </w:tc>
        <w:tc>
          <w:tcPr>
            <w:tcW w:w="290"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820" w:type="dxa"/>
            <w:tcBorders/>
            <w:vAlign w:val="center"/>
          </w:tcPr>
          <w:p>
            <w:pPr>
              <w:pStyle w:val="TableContents"/>
              <w:bidi w:val="0"/>
              <w:spacing w:before="0" w:after="0"/>
              <w:jc w:val="left"/>
              <w:rPr/>
            </w:pPr>
            <w:r>
              <w:rPr/>
              <w:t xml:space="preserve">Net sales </w:t>
            </w:r>
          </w:p>
        </w:tc>
        <w:tc>
          <w:tcPr>
            <w:tcW w:w="170" w:type="dxa"/>
            <w:tcBorders>
              <w:top w:val="single" w:sz="8" w:space="0" w:color="000000"/>
            </w:tcBorders>
            <w:tcMar>
              <w:top w:w="28" w:type="dxa"/>
            </w:tcMar>
            <w:vAlign w:val="center"/>
          </w:tcPr>
          <w:p>
            <w:pPr>
              <w:pStyle w:val="TableContents"/>
              <w:bidi w:val="0"/>
              <w:spacing w:before="0" w:after="283"/>
              <w:jc w:val="left"/>
              <w:rPr>
                <w:b/>
              </w:rPr>
            </w:pPr>
            <w:r>
              <w:rPr>
                <w:b/>
              </w:rPr>
              <w:t>$</w:t>
            </w:r>
          </w:p>
        </w:tc>
        <w:tc>
          <w:tcPr>
            <w:tcW w:w="935" w:type="dxa"/>
            <w:tcBorders>
              <w:top w:val="single" w:sz="8" w:space="0" w:color="000000"/>
            </w:tcBorders>
            <w:tcMar>
              <w:top w:w="28" w:type="dxa"/>
            </w:tcMar>
            <w:vAlign w:val="center"/>
          </w:tcPr>
          <w:p>
            <w:pPr>
              <w:pStyle w:val="TableContents"/>
              <w:bidi w:val="0"/>
              <w:spacing w:before="0" w:after="283"/>
              <w:jc w:val="right"/>
              <w:rPr>
                <w:b/>
              </w:rPr>
            </w:pPr>
            <w:r>
              <w:rPr>
                <w:b/>
              </w:rPr>
              <w:t>796</w:t>
            </w:r>
          </w:p>
        </w:tc>
        <w:tc>
          <w:tcPr>
            <w:tcW w:w="90" w:type="dxa"/>
            <w:tcBorders>
              <w:top w:val="single" w:sz="8"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pPr>
            <w:r>
              <w:rPr/>
              <w:t>$</w:t>
            </w:r>
          </w:p>
        </w:tc>
        <w:tc>
          <w:tcPr>
            <w:tcW w:w="1355" w:type="dxa"/>
            <w:tcBorders>
              <w:top w:val="single" w:sz="8" w:space="0" w:color="000000"/>
            </w:tcBorders>
            <w:tcMar>
              <w:top w:w="28" w:type="dxa"/>
            </w:tcMar>
            <w:vAlign w:val="center"/>
          </w:tcPr>
          <w:p>
            <w:pPr>
              <w:pStyle w:val="TableContents"/>
              <w:bidi w:val="0"/>
              <w:spacing w:before="0" w:after="283"/>
              <w:jc w:val="right"/>
              <w:rPr/>
            </w:pPr>
            <w:r>
              <w:rPr/>
              <w:t>824</w:t>
            </w:r>
          </w:p>
        </w:tc>
        <w:tc>
          <w:tcPr>
            <w:tcW w:w="90" w:type="dxa"/>
            <w:tcBorders>
              <w:top w:val="single" w:sz="8"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pPr>
            <w:r>
              <w:rPr/>
              <w:t>$</w:t>
            </w:r>
          </w:p>
        </w:tc>
        <w:tc>
          <w:tcPr>
            <w:tcW w:w="1025" w:type="dxa"/>
            <w:tcBorders>
              <w:top w:val="single" w:sz="8" w:space="0" w:color="000000"/>
            </w:tcBorders>
            <w:tcMar>
              <w:top w:w="28" w:type="dxa"/>
            </w:tcMar>
            <w:vAlign w:val="center"/>
          </w:tcPr>
          <w:p>
            <w:pPr>
              <w:pStyle w:val="TableContents"/>
              <w:bidi w:val="0"/>
              <w:spacing w:before="0" w:after="283"/>
              <w:jc w:val="right"/>
              <w:rPr/>
            </w:pPr>
            <w:r>
              <w:rPr/>
              <w:t>(28)</w:t>
            </w:r>
          </w:p>
        </w:tc>
        <w:tc>
          <w:tcPr>
            <w:tcW w:w="90" w:type="dxa"/>
            <w:tcBorders>
              <w:top w:val="single" w:sz="8"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top w:val="single" w:sz="8" w:space="0" w:color="000000"/>
            </w:tcBorders>
            <w:tcMar>
              <w:top w:w="28" w:type="dxa"/>
            </w:tcMar>
            <w:vAlign w:val="center"/>
          </w:tcPr>
          <w:p>
            <w:pPr>
              <w:pStyle w:val="TableContents"/>
              <w:bidi w:val="0"/>
              <w:spacing w:before="0" w:after="283"/>
              <w:ind w:left="0" w:right="0" w:firstLine="1"/>
              <w:jc w:val="left"/>
              <w:rPr/>
            </w:pPr>
            <w:r>
              <w:rPr/>
              <w:t> </w:t>
            </w:r>
          </w:p>
        </w:tc>
        <w:tc>
          <w:tcPr>
            <w:tcW w:w="1100" w:type="dxa"/>
            <w:tcBorders>
              <w:top w:val="single" w:sz="8" w:space="0" w:color="000000"/>
            </w:tcBorders>
            <w:tcMar>
              <w:top w:w="28" w:type="dxa"/>
            </w:tcMar>
            <w:vAlign w:val="center"/>
          </w:tcPr>
          <w:p>
            <w:pPr>
              <w:pStyle w:val="TableContents"/>
              <w:bidi w:val="0"/>
              <w:spacing w:before="0" w:after="283"/>
              <w:jc w:val="right"/>
              <w:rPr/>
            </w:pPr>
            <w:r>
              <w:rPr/>
              <w:t>(3)</w:t>
            </w:r>
          </w:p>
        </w:tc>
        <w:tc>
          <w:tcPr>
            <w:tcW w:w="290" w:type="dxa"/>
            <w:tcBorders>
              <w:top w:val="single" w:sz="8" w:space="0" w:color="000000"/>
            </w:tcBorders>
            <w:tcMar>
              <w:top w:w="28" w:type="dxa"/>
            </w:tcMar>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0"/>
              <w:jc w:val="left"/>
              <w:rPr>
                <w:spacing w:val="0"/>
              </w:rPr>
            </w:pPr>
            <w:r>
              <w:rPr>
                <w:spacing w:val="0"/>
              </w:rPr>
              <w:t xml:space="preserve">Operating income </w:t>
            </w:r>
          </w:p>
        </w:tc>
        <w:tc>
          <w:tcPr>
            <w:tcW w:w="17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b/>
              </w:rPr>
            </w:pPr>
            <w:r>
              <w:rPr>
                <w:b/>
              </w:rPr>
              <w:t>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325</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Net sales:</w:t>
      </w:r>
      <w:r>
        <w:rPr>
          <w:rFonts w:ascii="Times New Roman" w:hAnsi="Times New Roman"/>
          <w:sz w:val="18"/>
        </w:rPr>
        <w:t>  The net sales decline included a $57 million decrease in selling prices primarily due to product mix and pass-through of lower raw material costs and a 2% organic volume decline partially offset by favorable foreign currency changes of $48 million.  The volume decline was primarily attributed to winter storm disruptions in North America and general market softness in Europe.</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Operating income: </w:t>
      </w:r>
      <w:r>
        <w:rPr>
          <w:rFonts w:ascii="Times New Roman" w:hAnsi="Times New Roman"/>
          <w:sz w:val="18"/>
        </w:rPr>
        <w:t xml:space="preserve">The operating income increase included a $7 million favorable impact from decreased business integration costs and lower depreciation and amortization expenses of $6 million.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4"/>
        </w:rPr>
      </w:pPr>
      <w:r>
        <w:rPr>
          <w:rFonts w:ascii="Times New Roman" w:hAnsi="Times New Roman"/>
          <w:b/>
          <w:i/>
          <w:sz w:val="18"/>
        </w:rPr>
        <w:t>Other expense, net:</w:t>
      </w:r>
      <w:r>
        <w:rPr>
          <w:rFonts w:ascii="Times New Roman" w:hAnsi="Times New Roman"/>
          <w:sz w:val="24"/>
        </w:rPr>
        <w:t xml:space="preserve"> </w:t>
      </w:r>
      <w:r>
        <w:rPr>
          <w:rFonts w:ascii="Times New Roman" w:hAnsi="Times New Roman"/>
          <w:sz w:val="18"/>
        </w:rPr>
        <w:t xml:space="preserve">The decrease in other expense is primarily due to favorable changes in currency costs related to intercompany loans.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b/>
          <w:i/>
          <w:spacing w:val="0"/>
          <w:sz w:val="18"/>
        </w:rPr>
        <w:t>Interest expense, net: </w:t>
      </w:r>
      <w:r>
        <w:rPr>
          <w:rFonts w:ascii="Times New Roman" w:hAnsi="Times New Roman"/>
          <w:spacing w:val="0"/>
          <w:sz w:val="18"/>
        </w:rPr>
        <w:t xml:space="preserve">The decrease in interest expense, net is primarily the result of changes in interest rates and repayments on long-term borrowings. </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Changes in Comprehensive Income</w:t>
      </w:r>
    </w:p>
    <w:p>
      <w:pPr>
        <w:pStyle w:val="TextBody"/>
        <w:bidi w:val="0"/>
        <w:spacing w:before="0" w:after="0"/>
        <w:jc w:val="left"/>
        <w:rPr/>
      </w:pPr>
      <w:r>
        <w:rPr/>
        <w:t> </w:t>
      </w:r>
    </w:p>
    <w:p>
      <w:pPr>
        <w:pStyle w:val="TextBody"/>
        <w:bidi w:val="0"/>
        <w:spacing w:before="0" w:after="0"/>
        <w:jc w:val="left"/>
        <w:rPr>
          <w:rFonts w:ascii="Times New Roman" w:hAnsi="Times New Roman"/>
          <w:spacing w:val="0"/>
          <w:sz w:val="18"/>
        </w:rPr>
      </w:pPr>
      <w:r>
        <w:rPr>
          <w:rFonts w:ascii="Times New Roman" w:hAnsi="Times New Roman"/>
          <w:spacing w:val="0"/>
          <w:sz w:val="18"/>
        </w:rPr>
        <w:t>The $13 million increase in comprehensive income from the Prior Quarter is attributed to a $10 million unfavorable change in currency translation and a $23 million increase in net income.  Currency translation changes are primarily related to non-U.S. subsidiaries with a functional currency other than the U.S. dollar, whereby assets and liabilities are translated from the respective functional currency into U.S. dollars using period-end exchange rates.  The change in currency translation in the Quarter was primarily attributed to locations utilizing the Euro and Brazilian real as their functional currency.  As part of its overall risk management, the Company uses derivative instruments to reduce foreign currency exposure to translation of certain foreign operations.  The Company records changes to the fair value of these instruments in Accumulated other comprehensive loss.  The change in fair value of these instruments in the current Quarter is primarily attributed to the change in the forward foreign exchange curves between measurement dates.</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Segment Overview</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b/>
          <w:i/>
          <w:sz w:val="18"/>
        </w:rPr>
        <w:t>Americas</w:t>
      </w:r>
      <w:r>
        <w:rPr>
          <w:rFonts w:ascii="Times New Roman" w:hAnsi="Times New Roman"/>
          <w:sz w:val="18"/>
        </w:rPr>
        <w:t xml:space="preserve"> </w:t>
      </w:r>
    </w:p>
    <w:tbl>
      <w:tblPr>
        <w:tblW w:w="7786" w:type="dxa"/>
        <w:jc w:val="left"/>
        <w:tblInd w:w="0" w:type="dxa"/>
        <w:tblLayout w:type="fixed"/>
        <w:tblCellMar>
          <w:top w:w="0" w:type="dxa"/>
          <w:left w:w="0" w:type="dxa"/>
          <w:bottom w:w="0" w:type="dxa"/>
          <w:right w:w="0" w:type="dxa"/>
        </w:tblCellMar>
      </w:tblPr>
      <w:tblGrid>
        <w:gridCol w:w="1940"/>
        <w:gridCol w:w="170"/>
        <w:gridCol w:w="935"/>
        <w:gridCol w:w="90"/>
        <w:gridCol w:w="90"/>
        <w:gridCol w:w="170"/>
        <w:gridCol w:w="1355"/>
        <w:gridCol w:w="90"/>
        <w:gridCol w:w="90"/>
        <w:gridCol w:w="170"/>
        <w:gridCol w:w="1025"/>
        <w:gridCol w:w="90"/>
        <w:gridCol w:w="90"/>
        <w:gridCol w:w="91"/>
        <w:gridCol w:w="1100"/>
        <w:gridCol w:w="290"/>
      </w:tblGrid>
      <w:tr>
        <w:trPr/>
        <w:tc>
          <w:tcPr>
            <w:tcW w:w="194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35" w:type="dxa"/>
            <w:tcBorders>
              <w:bottom w:val="single" w:sz="2" w:space="0" w:color="000000"/>
            </w:tcBorders>
            <w:tcMar>
              <w:bottom w:w="28" w:type="dxa"/>
            </w:tcMar>
            <w:vAlign w:val="center"/>
          </w:tcPr>
          <w:p>
            <w:pPr>
              <w:pStyle w:val="TableContents"/>
              <w:bidi w:val="0"/>
              <w:spacing w:before="0" w:after="283"/>
              <w:jc w:val="center"/>
              <w:rPr/>
            </w:pPr>
            <w:r>
              <w:rPr>
                <w:b/>
                <w:color w:val="000000"/>
              </w:rPr>
              <w:t>Quarter</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355" w:type="dxa"/>
            <w:tcBorders>
              <w:bottom w:val="single" w:sz="8" w:space="0" w:color="000000"/>
            </w:tcBorders>
            <w:tcMar>
              <w:bottom w:w="28" w:type="dxa"/>
            </w:tcMar>
            <w:vAlign w:val="center"/>
          </w:tcPr>
          <w:p>
            <w:pPr>
              <w:pStyle w:val="TableContents"/>
              <w:bidi w:val="0"/>
              <w:spacing w:before="0" w:after="283"/>
              <w:jc w:val="center"/>
              <w:rPr/>
            </w:pPr>
            <w:r>
              <w:rPr>
                <w:color w:val="000000"/>
              </w:rPr>
              <w:t>Prior Quarter</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290"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940" w:type="dxa"/>
            <w:tcBorders/>
            <w:vAlign w:val="center"/>
          </w:tcPr>
          <w:p>
            <w:pPr>
              <w:pStyle w:val="TableContents"/>
              <w:bidi w:val="0"/>
              <w:spacing w:before="0" w:after="0"/>
              <w:jc w:val="left"/>
              <w:rPr/>
            </w:pPr>
            <w:r>
              <w:rPr>
                <w:color w:val="000000"/>
              </w:rPr>
              <w:t>Net sales</w:t>
            </w:r>
            <w:r>
              <w:rPr/>
              <w:t xml:space="preserve"> </w:t>
            </w:r>
          </w:p>
        </w:tc>
        <w:tc>
          <w:tcPr>
            <w:tcW w:w="170" w:type="dxa"/>
            <w:tcBorders>
              <w:top w:val="single" w:sz="8" w:space="0" w:color="000000"/>
            </w:tcBorders>
            <w:tcMar>
              <w:top w:w="28" w:type="dxa"/>
            </w:tcMar>
            <w:vAlign w:val="center"/>
          </w:tcPr>
          <w:p>
            <w:pPr>
              <w:pStyle w:val="TableContents"/>
              <w:bidi w:val="0"/>
              <w:spacing w:before="0" w:after="283"/>
              <w:jc w:val="left"/>
              <w:rPr>
                <w:b/>
                <w:color w:val="000000"/>
              </w:rPr>
            </w:pPr>
            <w:r>
              <w:rPr>
                <w:b/>
                <w:color w:val="000000"/>
              </w:rPr>
              <w:t>$</w:t>
            </w:r>
          </w:p>
        </w:tc>
        <w:tc>
          <w:tcPr>
            <w:tcW w:w="935" w:type="dxa"/>
            <w:tcBorders>
              <w:top w:val="single" w:sz="8" w:space="0" w:color="000000"/>
            </w:tcBorders>
            <w:tcMar>
              <w:top w:w="28" w:type="dxa"/>
            </w:tcMar>
            <w:vAlign w:val="center"/>
          </w:tcPr>
          <w:p>
            <w:pPr>
              <w:pStyle w:val="TableContents"/>
              <w:bidi w:val="0"/>
              <w:spacing w:before="0" w:after="283"/>
              <w:jc w:val="right"/>
              <w:rPr>
                <w:b/>
                <w:color w:val="000000"/>
              </w:rPr>
            </w:pPr>
            <w:r>
              <w:rPr>
                <w:b/>
                <w:color w:val="000000"/>
              </w:rPr>
              <w:t>437</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35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473</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02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(36)</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top w:val="single" w:sz="8" w:space="0" w:color="000000"/>
            </w:tcBorders>
            <w:tcMar>
              <w:top w:w="28" w:type="dxa"/>
            </w:tcMar>
            <w:vAlign w:val="center"/>
          </w:tcPr>
          <w:p>
            <w:pPr>
              <w:pStyle w:val="TableContents"/>
              <w:bidi w:val="0"/>
              <w:spacing w:before="0" w:after="283"/>
              <w:ind w:left="0" w:right="0" w:firstLine="1"/>
              <w:jc w:val="left"/>
              <w:rPr>
                <w:color w:val="000000"/>
              </w:rPr>
            </w:pPr>
            <w:r>
              <w:rPr>
                <w:color w:val="000000"/>
              </w:rPr>
              <w:t> </w:t>
            </w:r>
          </w:p>
        </w:tc>
        <w:tc>
          <w:tcPr>
            <w:tcW w:w="1100"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(8)</w:t>
            </w:r>
          </w:p>
        </w:tc>
        <w:tc>
          <w:tcPr>
            <w:tcW w:w="2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r>
      <w:tr>
        <w:trPr/>
        <w:tc>
          <w:tcPr>
            <w:tcW w:w="1940" w:type="dxa"/>
            <w:tcBorders/>
            <w:vAlign w:val="center"/>
          </w:tcPr>
          <w:p>
            <w:pPr>
              <w:pStyle w:val="TableContents"/>
              <w:bidi w:val="0"/>
              <w:spacing w:before="0" w:after="0"/>
              <w:jc w:val="left"/>
              <w:rPr/>
            </w:pPr>
            <w:r>
              <w:rPr/>
              <w:t xml:space="preserve">Adjusted EBITDA </w:t>
            </w:r>
          </w:p>
        </w:tc>
        <w:tc>
          <w:tcPr>
            <w:tcW w:w="170" w:type="dxa"/>
            <w:tcBorders/>
            <w:vAlign w:val="center"/>
          </w:tcPr>
          <w:p>
            <w:pPr>
              <w:pStyle w:val="TableContents"/>
              <w:bidi w:val="0"/>
              <w:spacing w:before="0" w:after="283"/>
              <w:jc w:val="left"/>
              <w:rPr>
                <w:color w:val="000000"/>
              </w:rPr>
            </w:pPr>
            <w:r>
              <w:rPr>
                <w:color w:val="000000"/>
              </w:rPr>
              <w:t> </w:t>
            </w:r>
          </w:p>
        </w:tc>
        <w:tc>
          <w:tcPr>
            <w:tcW w:w="935" w:type="dxa"/>
            <w:tcBorders/>
            <w:vAlign w:val="center"/>
          </w:tcPr>
          <w:p>
            <w:pPr>
              <w:pStyle w:val="TableContents"/>
              <w:bidi w:val="0"/>
              <w:spacing w:before="0" w:after="283"/>
              <w:jc w:val="right"/>
              <w:rPr>
                <w:b/>
                <w:color w:val="000000"/>
              </w:rPr>
            </w:pPr>
            <w:r>
              <w:rPr>
                <w:b/>
                <w:color w:val="000000"/>
              </w:rPr>
              <w:t>58</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355" w:type="dxa"/>
            <w:tcBorders/>
            <w:vAlign w:val="center"/>
          </w:tcPr>
          <w:p>
            <w:pPr>
              <w:pStyle w:val="TableContents"/>
              <w:bidi w:val="0"/>
              <w:spacing w:before="0" w:after="283"/>
              <w:jc w:val="right"/>
              <w:rPr>
                <w:color w:val="000000"/>
              </w:rPr>
            </w:pPr>
            <w:r>
              <w:rPr>
                <w:color w:val="000000"/>
              </w:rPr>
              <w:t>64</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right"/>
              <w:rPr>
                <w:color w:val="000000"/>
              </w:rPr>
            </w:pPr>
            <w:r>
              <w:rPr>
                <w:color w:val="000000"/>
              </w:rPr>
              <w:t>(6)</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color w:val="000000"/>
              </w:rPr>
            </w:pPr>
            <w:r>
              <w:rPr>
                <w:color w:val="000000"/>
              </w:rPr>
              <w:t> </w:t>
            </w:r>
          </w:p>
        </w:tc>
        <w:tc>
          <w:tcPr>
            <w:tcW w:w="1100" w:type="dxa"/>
            <w:tcBorders/>
            <w:vAlign w:val="center"/>
          </w:tcPr>
          <w:p>
            <w:pPr>
              <w:pStyle w:val="TableContents"/>
              <w:bidi w:val="0"/>
              <w:spacing w:before="0" w:after="283"/>
              <w:jc w:val="right"/>
              <w:rPr>
                <w:color w:val="000000"/>
              </w:rPr>
            </w:pPr>
            <w:r>
              <w:rPr>
                <w:color w:val="000000"/>
              </w:rPr>
              <w:t>(9)</w:t>
            </w:r>
          </w:p>
        </w:tc>
        <w:tc>
          <w:tcPr>
            <w:tcW w:w="290" w:type="dxa"/>
            <w:tcBorders/>
            <w:vAlign w:val="center"/>
          </w:tcPr>
          <w:p>
            <w:pPr>
              <w:pStyle w:val="TableContents"/>
              <w:bidi w:val="0"/>
              <w:spacing w:before="0" w:after="283"/>
              <w:jc w:val="left"/>
              <w:rPr>
                <w:color w:val="000000"/>
              </w:rPr>
            </w:pPr>
            <w:r>
              <w:rPr>
                <w:color w:val="000000"/>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Net sales:</w:t>
      </w:r>
      <w:r>
        <w:rPr>
          <w:rFonts w:ascii="Times New Roman" w:hAnsi="Times New Roman"/>
          <w:sz w:val="18"/>
        </w:rPr>
        <w:t> The net sales decline included a $42 million decrease in selling prices primarily due to product mix, pass-through of lower raw material costs and a 1% organic volume decline.  The volume decline was primarily attributed to winter storm disruptions in North America.</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Adjusted EBITDA: </w:t>
      </w:r>
      <w:r>
        <w:rPr>
          <w:rFonts w:ascii="Times New Roman" w:hAnsi="Times New Roman"/>
          <w:sz w:val="18"/>
        </w:rPr>
        <w:t xml:space="preserve">The adjusted EBITDA decline was primarily a result of unfavorable price cost spread of $5 million.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15</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18"/>
        </w:rPr>
      </w:pPr>
      <w:r>
        <w:rPr>
          <w:rFonts w:ascii="Times New Roman" w:hAnsi="Times New Roman"/>
          <w:b/>
          <w:i/>
          <w:sz w:val="18"/>
        </w:rPr>
        <w:t>Rest of World</w:t>
      </w:r>
      <w:r>
        <w:rPr>
          <w:rFonts w:ascii="Times New Roman" w:hAnsi="Times New Roman"/>
          <w:sz w:val="18"/>
        </w:rPr>
        <w:t xml:space="preserve"> </w:t>
      </w:r>
    </w:p>
    <w:tbl>
      <w:tblPr>
        <w:tblW w:w="7726" w:type="dxa"/>
        <w:jc w:val="left"/>
        <w:tblInd w:w="0" w:type="dxa"/>
        <w:tblLayout w:type="fixed"/>
        <w:tblCellMar>
          <w:top w:w="0" w:type="dxa"/>
          <w:left w:w="0" w:type="dxa"/>
          <w:bottom w:w="0" w:type="dxa"/>
          <w:right w:w="0" w:type="dxa"/>
        </w:tblCellMar>
      </w:tblPr>
      <w:tblGrid>
        <w:gridCol w:w="1880"/>
        <w:gridCol w:w="170"/>
        <w:gridCol w:w="935"/>
        <w:gridCol w:w="90"/>
        <w:gridCol w:w="90"/>
        <w:gridCol w:w="170"/>
        <w:gridCol w:w="1355"/>
        <w:gridCol w:w="90"/>
        <w:gridCol w:w="90"/>
        <w:gridCol w:w="170"/>
        <w:gridCol w:w="1025"/>
        <w:gridCol w:w="90"/>
        <w:gridCol w:w="90"/>
        <w:gridCol w:w="91"/>
        <w:gridCol w:w="1100"/>
        <w:gridCol w:w="290"/>
      </w:tblGrid>
      <w:tr>
        <w:trPr/>
        <w:tc>
          <w:tcPr>
            <w:tcW w:w="18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35" w:type="dxa"/>
            <w:tcBorders>
              <w:bottom w:val="single" w:sz="2" w:space="0" w:color="000000"/>
            </w:tcBorders>
            <w:tcMar>
              <w:bottom w:w="28" w:type="dxa"/>
            </w:tcMar>
            <w:vAlign w:val="center"/>
          </w:tcPr>
          <w:p>
            <w:pPr>
              <w:pStyle w:val="TableContents"/>
              <w:bidi w:val="0"/>
              <w:spacing w:before="0" w:after="283"/>
              <w:jc w:val="center"/>
              <w:rPr/>
            </w:pPr>
            <w:r>
              <w:rPr>
                <w:b/>
                <w:color w:val="000000"/>
              </w:rPr>
              <w:t>Quarter</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355" w:type="dxa"/>
            <w:tcBorders>
              <w:bottom w:val="single" w:sz="8" w:space="0" w:color="000000"/>
            </w:tcBorders>
            <w:tcMar>
              <w:bottom w:w="28" w:type="dxa"/>
            </w:tcMar>
            <w:vAlign w:val="center"/>
          </w:tcPr>
          <w:p>
            <w:pPr>
              <w:pStyle w:val="TableContents"/>
              <w:bidi w:val="0"/>
              <w:spacing w:before="0" w:after="283"/>
              <w:jc w:val="center"/>
              <w:rPr/>
            </w:pPr>
            <w:r>
              <w:rPr>
                <w:color w:val="000000"/>
              </w:rPr>
              <w:t>Prior Quarter</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290"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880" w:type="dxa"/>
            <w:tcBorders/>
            <w:vAlign w:val="center"/>
          </w:tcPr>
          <w:p>
            <w:pPr>
              <w:pStyle w:val="TableContents"/>
              <w:bidi w:val="0"/>
              <w:spacing w:before="0" w:after="0"/>
              <w:jc w:val="left"/>
              <w:rPr/>
            </w:pPr>
            <w:r>
              <w:rPr>
                <w:color w:val="000000"/>
              </w:rPr>
              <w:t>Net sales</w:t>
            </w:r>
            <w:r>
              <w:rPr/>
              <w:t xml:space="preserve"> </w:t>
            </w:r>
          </w:p>
        </w:tc>
        <w:tc>
          <w:tcPr>
            <w:tcW w:w="170" w:type="dxa"/>
            <w:tcBorders>
              <w:top w:val="single" w:sz="8" w:space="0" w:color="000000"/>
            </w:tcBorders>
            <w:tcMar>
              <w:top w:w="28" w:type="dxa"/>
            </w:tcMar>
            <w:vAlign w:val="center"/>
          </w:tcPr>
          <w:p>
            <w:pPr>
              <w:pStyle w:val="TableContents"/>
              <w:bidi w:val="0"/>
              <w:spacing w:before="0" w:after="283"/>
              <w:jc w:val="left"/>
              <w:rPr>
                <w:b/>
                <w:color w:val="000000"/>
              </w:rPr>
            </w:pPr>
            <w:r>
              <w:rPr>
                <w:b/>
                <w:color w:val="000000"/>
              </w:rPr>
              <w:t>$</w:t>
            </w:r>
          </w:p>
        </w:tc>
        <w:tc>
          <w:tcPr>
            <w:tcW w:w="935" w:type="dxa"/>
            <w:tcBorders>
              <w:top w:val="single" w:sz="8" w:space="0" w:color="000000"/>
            </w:tcBorders>
            <w:tcMar>
              <w:top w:w="28" w:type="dxa"/>
            </w:tcMar>
            <w:vAlign w:val="center"/>
          </w:tcPr>
          <w:p>
            <w:pPr>
              <w:pStyle w:val="TableContents"/>
              <w:bidi w:val="0"/>
              <w:spacing w:before="0" w:after="283"/>
              <w:jc w:val="right"/>
              <w:rPr>
                <w:b/>
                <w:color w:val="000000"/>
              </w:rPr>
            </w:pPr>
            <w:r>
              <w:rPr>
                <w:b/>
                <w:color w:val="000000"/>
              </w:rPr>
              <w:t>359</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35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351</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02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8</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top w:val="single" w:sz="8" w:space="0" w:color="000000"/>
            </w:tcBorders>
            <w:tcMar>
              <w:top w:w="28" w:type="dxa"/>
            </w:tcMar>
            <w:vAlign w:val="center"/>
          </w:tcPr>
          <w:p>
            <w:pPr>
              <w:pStyle w:val="TableContents"/>
              <w:bidi w:val="0"/>
              <w:spacing w:before="0" w:after="283"/>
              <w:ind w:left="0" w:right="0" w:firstLine="1"/>
              <w:jc w:val="left"/>
              <w:rPr>
                <w:color w:val="000000"/>
              </w:rPr>
            </w:pPr>
            <w:r>
              <w:rPr>
                <w:color w:val="000000"/>
              </w:rPr>
              <w:t> </w:t>
            </w:r>
          </w:p>
        </w:tc>
        <w:tc>
          <w:tcPr>
            <w:tcW w:w="1100"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2</w:t>
            </w:r>
          </w:p>
        </w:tc>
        <w:tc>
          <w:tcPr>
            <w:tcW w:w="2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r>
      <w:tr>
        <w:trPr/>
        <w:tc>
          <w:tcPr>
            <w:tcW w:w="1880" w:type="dxa"/>
            <w:tcBorders/>
            <w:vAlign w:val="center"/>
          </w:tcPr>
          <w:p>
            <w:pPr>
              <w:pStyle w:val="TableContents"/>
              <w:bidi w:val="0"/>
              <w:spacing w:before="0" w:after="0"/>
              <w:jc w:val="left"/>
              <w:rPr>
                <w:color w:val="000000"/>
              </w:rPr>
            </w:pPr>
            <w:r>
              <w:rPr>
                <w:color w:val="000000"/>
              </w:rPr>
              <w:t>Adjusted EBITDA</w:t>
            </w:r>
          </w:p>
        </w:tc>
        <w:tc>
          <w:tcPr>
            <w:tcW w:w="170" w:type="dxa"/>
            <w:tcBorders/>
            <w:vAlign w:val="center"/>
          </w:tcPr>
          <w:p>
            <w:pPr>
              <w:pStyle w:val="TableContents"/>
              <w:bidi w:val="0"/>
              <w:spacing w:before="0" w:after="283"/>
              <w:jc w:val="left"/>
              <w:rPr>
                <w:color w:val="000000"/>
              </w:rPr>
            </w:pPr>
            <w:r>
              <w:rPr>
                <w:color w:val="000000"/>
              </w:rPr>
              <w:t> </w:t>
            </w:r>
          </w:p>
        </w:tc>
        <w:tc>
          <w:tcPr>
            <w:tcW w:w="935" w:type="dxa"/>
            <w:tcBorders/>
            <w:vAlign w:val="center"/>
          </w:tcPr>
          <w:p>
            <w:pPr>
              <w:pStyle w:val="TableContents"/>
              <w:bidi w:val="0"/>
              <w:spacing w:before="0" w:after="283"/>
              <w:jc w:val="right"/>
              <w:rPr>
                <w:b/>
                <w:color w:val="000000"/>
              </w:rPr>
            </w:pPr>
            <w:r>
              <w:rPr>
                <w:b/>
                <w:color w:val="000000"/>
              </w:rPr>
              <w:t>32</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355" w:type="dxa"/>
            <w:tcBorders/>
            <w:vAlign w:val="center"/>
          </w:tcPr>
          <w:p>
            <w:pPr>
              <w:pStyle w:val="TableContents"/>
              <w:bidi w:val="0"/>
              <w:spacing w:before="0" w:after="283"/>
              <w:jc w:val="right"/>
              <w:rPr>
                <w:color w:val="000000"/>
              </w:rPr>
            </w:pPr>
            <w:r>
              <w:rPr>
                <w:color w:val="000000"/>
              </w:rPr>
              <w:t>25</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right"/>
              <w:rPr>
                <w:color w:val="000000"/>
              </w:rPr>
            </w:pPr>
            <w:r>
              <w:rPr>
                <w:color w:val="000000"/>
              </w:rPr>
              <w:t>7</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color w:val="000000"/>
              </w:rPr>
            </w:pPr>
            <w:r>
              <w:rPr>
                <w:color w:val="000000"/>
              </w:rPr>
              <w:t>28</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Net sales:</w:t>
      </w:r>
      <w:r>
        <w:rPr>
          <w:rFonts w:ascii="Times New Roman" w:hAnsi="Times New Roman"/>
          <w:sz w:val="18"/>
        </w:rPr>
        <w:t xml:space="preserve"> The net sales increase included a </w:t>
      </w:r>
      <w:r>
        <w:rPr>
          <w:rFonts w:ascii="Times New Roman" w:hAnsi="Times New Roman"/>
          <w:spacing w:val="0"/>
          <w:sz w:val="18"/>
        </w:rPr>
        <w:t>favorable foreign currency change of $37 million partially offset by a </w:t>
      </w:r>
      <w:r>
        <w:rPr>
          <w:rFonts w:ascii="Times New Roman" w:hAnsi="Times New Roman"/>
          <w:sz w:val="18"/>
        </w:rPr>
        <w:t>$15 million decrease in selling prices primarily due to product mix, pass-through of lower raw material costs and a 4% organic volume decline.  The volume decline was primarily attributed to general market softness in Europe.</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Adjusted EBITDA: </w:t>
      </w:r>
      <w:r>
        <w:rPr>
          <w:rFonts w:ascii="Times New Roman" w:hAnsi="Times New Roman"/>
          <w:sz w:val="18"/>
        </w:rPr>
        <w:t xml:space="preserve">The adjusted EBITDA increase was primarily a result of favorable price cost spread of $7 million as the result of synergy realization and mix improvement and a $2 million favorable benefit from foreign currency changes partially offset by softer volumes.  </w:t>
      </w:r>
    </w:p>
    <w:p>
      <w:pPr>
        <w:pStyle w:val="TextBody"/>
        <w:bidi w:val="0"/>
        <w:spacing w:before="0" w:after="0"/>
        <w:jc w:val="left"/>
        <w:rPr/>
      </w:pPr>
      <w:r>
        <w:rPr/>
        <w:t> </w:t>
      </w:r>
    </w:p>
    <w:p>
      <w:pPr>
        <w:pStyle w:val="TextBody"/>
        <w:bidi w:val="0"/>
        <w:spacing w:before="0" w:after="0"/>
        <w:jc w:val="left"/>
        <w:rPr>
          <w:rFonts w:ascii="Times New Roman" w:hAnsi="Times New Roman"/>
          <w:b/>
          <w:spacing w:val="0"/>
          <w:sz w:val="18"/>
        </w:rPr>
      </w:pPr>
      <w:r>
        <w:rPr>
          <w:rFonts w:ascii="Times New Roman" w:hAnsi="Times New Roman"/>
          <w:b/>
          <w:spacing w:val="0"/>
          <w:sz w:val="18"/>
        </w:rPr>
        <w:t>Comparison of the Two Quarterly Periods Ended March 28, 2026 (the “YTD”) and the Two Quarterly Periods Ended March 29, 2025 (the “Prior YTD”)</w:t>
      </w:r>
    </w:p>
    <w:p>
      <w:pPr>
        <w:pStyle w:val="TextBody"/>
        <w:bidi w:val="0"/>
        <w:spacing w:before="0" w:after="0"/>
        <w:jc w:val="left"/>
        <w:rPr/>
      </w:pPr>
      <w:r>
        <w:rPr/>
        <w:t> </w:t>
      </w:r>
    </w:p>
    <w:p>
      <w:pPr>
        <w:pStyle w:val="TextBody"/>
        <w:bidi w:val="0"/>
        <w:spacing w:before="0" w:after="0"/>
        <w:jc w:val="left"/>
        <w:rPr>
          <w:rFonts w:ascii="Times New Roman" w:hAnsi="Times New Roman"/>
          <w:i/>
          <w:spacing w:val="0"/>
          <w:sz w:val="18"/>
        </w:rPr>
      </w:pPr>
      <w:r>
        <w:rPr>
          <w:rFonts w:ascii="Times New Roman" w:hAnsi="Times New Roman"/>
          <w:i/>
          <w:spacing w:val="0"/>
          <w:sz w:val="18"/>
        </w:rPr>
        <w:t>Business integration expenses consist of restructuring and impairment charges, acquisition/merger related costs, and other business optimization costs.  Tables present dollars in millions.</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Consolidated Overview</w:t>
      </w:r>
    </w:p>
    <w:tbl>
      <w:tblPr>
        <w:tblW w:w="7606" w:type="dxa"/>
        <w:jc w:val="left"/>
        <w:tblInd w:w="0" w:type="dxa"/>
        <w:tblLayout w:type="fixed"/>
        <w:tblCellMar>
          <w:top w:w="0" w:type="dxa"/>
          <w:left w:w="0" w:type="dxa"/>
          <w:bottom w:w="0" w:type="dxa"/>
          <w:right w:w="0" w:type="dxa"/>
        </w:tblCellMar>
      </w:tblPr>
      <w:tblGrid>
        <w:gridCol w:w="2330"/>
        <w:gridCol w:w="170"/>
        <w:gridCol w:w="635"/>
        <w:gridCol w:w="90"/>
        <w:gridCol w:w="90"/>
        <w:gridCol w:w="170"/>
        <w:gridCol w:w="1085"/>
        <w:gridCol w:w="90"/>
        <w:gridCol w:w="90"/>
        <w:gridCol w:w="170"/>
        <w:gridCol w:w="1025"/>
        <w:gridCol w:w="90"/>
        <w:gridCol w:w="90"/>
        <w:gridCol w:w="91"/>
        <w:gridCol w:w="1100"/>
        <w:gridCol w:w="290"/>
      </w:tblGrid>
      <w:tr>
        <w:trPr/>
        <w:tc>
          <w:tcPr>
            <w:tcW w:w="233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35" w:type="dxa"/>
            <w:tcBorders>
              <w:bottom w:val="single" w:sz="2" w:space="0" w:color="000000"/>
            </w:tcBorders>
            <w:tcMar>
              <w:bottom w:w="28" w:type="dxa"/>
            </w:tcMar>
            <w:vAlign w:val="center"/>
          </w:tcPr>
          <w:p>
            <w:pPr>
              <w:pStyle w:val="TableContents"/>
              <w:bidi w:val="0"/>
              <w:spacing w:before="0" w:after="283"/>
              <w:jc w:val="center"/>
              <w:rPr>
                <w:b/>
              </w:rPr>
            </w:pPr>
            <w:r>
              <w:rPr>
                <w:b/>
              </w:rPr>
              <w:t xml:space="preserve">YTD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85" w:type="dxa"/>
            <w:tcBorders>
              <w:bottom w:val="single" w:sz="8" w:space="0" w:color="000000"/>
            </w:tcBorders>
            <w:tcMar>
              <w:bottom w:w="28" w:type="dxa"/>
            </w:tcMar>
            <w:vAlign w:val="center"/>
          </w:tcPr>
          <w:p>
            <w:pPr>
              <w:pStyle w:val="TableContents"/>
              <w:bidi w:val="0"/>
              <w:spacing w:before="0" w:after="283"/>
              <w:jc w:val="center"/>
              <w:rPr/>
            </w:pPr>
            <w:r>
              <w:rPr/>
              <w:t>Prior YTD</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t xml:space="preserve">$ Change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t xml:space="preserve">% Change </w:t>
            </w:r>
          </w:p>
        </w:tc>
        <w:tc>
          <w:tcPr>
            <w:tcW w:w="290"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2330" w:type="dxa"/>
            <w:tcBorders/>
            <w:vAlign w:val="center"/>
          </w:tcPr>
          <w:p>
            <w:pPr>
              <w:pStyle w:val="TableContents"/>
              <w:bidi w:val="0"/>
              <w:spacing w:before="0" w:after="0"/>
              <w:jc w:val="left"/>
              <w:rPr/>
            </w:pPr>
            <w:r>
              <w:rPr/>
              <w:t xml:space="preserve">Net sales </w:t>
            </w:r>
          </w:p>
        </w:tc>
        <w:tc>
          <w:tcPr>
            <w:tcW w:w="170" w:type="dxa"/>
            <w:tcBorders>
              <w:top w:val="single" w:sz="8" w:space="0" w:color="000000"/>
            </w:tcBorders>
            <w:tcMar>
              <w:top w:w="28" w:type="dxa"/>
            </w:tcMar>
            <w:vAlign w:val="center"/>
          </w:tcPr>
          <w:p>
            <w:pPr>
              <w:pStyle w:val="TableContents"/>
              <w:bidi w:val="0"/>
              <w:spacing w:before="0" w:after="283"/>
              <w:jc w:val="left"/>
              <w:rPr>
                <w:b/>
              </w:rPr>
            </w:pPr>
            <w:r>
              <w:rPr>
                <w:b/>
              </w:rPr>
              <w:t>$</w:t>
            </w:r>
          </w:p>
        </w:tc>
        <w:tc>
          <w:tcPr>
            <w:tcW w:w="635" w:type="dxa"/>
            <w:tcBorders>
              <w:top w:val="single" w:sz="8" w:space="0" w:color="000000"/>
            </w:tcBorders>
            <w:tcMar>
              <w:top w:w="28" w:type="dxa"/>
            </w:tcMar>
            <w:vAlign w:val="center"/>
          </w:tcPr>
          <w:p>
            <w:pPr>
              <w:pStyle w:val="TableContents"/>
              <w:bidi w:val="0"/>
              <w:spacing w:before="0" w:after="283"/>
              <w:jc w:val="right"/>
              <w:rPr>
                <w:b/>
              </w:rPr>
            </w:pPr>
            <w:r>
              <w:rPr>
                <w:b/>
              </w:rPr>
              <w:t>1,588</w:t>
            </w:r>
          </w:p>
        </w:tc>
        <w:tc>
          <w:tcPr>
            <w:tcW w:w="90" w:type="dxa"/>
            <w:tcBorders>
              <w:top w:val="single" w:sz="8"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pPr>
            <w:r>
              <w:rPr/>
              <w:t>$</w:t>
            </w:r>
          </w:p>
        </w:tc>
        <w:tc>
          <w:tcPr>
            <w:tcW w:w="1085" w:type="dxa"/>
            <w:tcBorders>
              <w:top w:val="single" w:sz="8" w:space="0" w:color="000000"/>
            </w:tcBorders>
            <w:tcMar>
              <w:top w:w="28" w:type="dxa"/>
            </w:tcMar>
            <w:vAlign w:val="center"/>
          </w:tcPr>
          <w:p>
            <w:pPr>
              <w:pStyle w:val="TableContents"/>
              <w:bidi w:val="0"/>
              <w:spacing w:before="0" w:after="283"/>
              <w:jc w:val="right"/>
              <w:rPr/>
            </w:pPr>
            <w:r>
              <w:rPr/>
              <w:t>1,526</w:t>
            </w:r>
          </w:p>
        </w:tc>
        <w:tc>
          <w:tcPr>
            <w:tcW w:w="90" w:type="dxa"/>
            <w:tcBorders>
              <w:top w:val="single" w:sz="8"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pPr>
            <w:r>
              <w:rPr/>
              <w:t>$</w:t>
            </w:r>
          </w:p>
        </w:tc>
        <w:tc>
          <w:tcPr>
            <w:tcW w:w="1025" w:type="dxa"/>
            <w:tcBorders>
              <w:top w:val="single" w:sz="8" w:space="0" w:color="000000"/>
            </w:tcBorders>
            <w:tcMar>
              <w:top w:w="28" w:type="dxa"/>
            </w:tcMar>
            <w:vAlign w:val="center"/>
          </w:tcPr>
          <w:p>
            <w:pPr>
              <w:pStyle w:val="TableContents"/>
              <w:bidi w:val="0"/>
              <w:spacing w:before="0" w:after="283"/>
              <w:jc w:val="right"/>
              <w:rPr/>
            </w:pPr>
            <w:r>
              <w:rPr/>
              <w:t>62</w:t>
            </w:r>
          </w:p>
        </w:tc>
        <w:tc>
          <w:tcPr>
            <w:tcW w:w="90" w:type="dxa"/>
            <w:tcBorders>
              <w:top w:val="single" w:sz="8"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top w:val="single" w:sz="8" w:space="0" w:color="000000"/>
            </w:tcBorders>
            <w:tcMar>
              <w:top w:w="28" w:type="dxa"/>
            </w:tcMar>
            <w:vAlign w:val="center"/>
          </w:tcPr>
          <w:p>
            <w:pPr>
              <w:pStyle w:val="TableContents"/>
              <w:bidi w:val="0"/>
              <w:spacing w:before="0" w:after="283"/>
              <w:ind w:left="0" w:right="0" w:firstLine="1"/>
              <w:jc w:val="left"/>
              <w:rPr/>
            </w:pPr>
            <w:r>
              <w:rPr/>
              <w:t> </w:t>
            </w:r>
          </w:p>
        </w:tc>
        <w:tc>
          <w:tcPr>
            <w:tcW w:w="1100" w:type="dxa"/>
            <w:tcBorders>
              <w:top w:val="single" w:sz="8" w:space="0" w:color="000000"/>
            </w:tcBorders>
            <w:tcMar>
              <w:top w:w="28" w:type="dxa"/>
            </w:tcMar>
            <w:vAlign w:val="center"/>
          </w:tcPr>
          <w:p>
            <w:pPr>
              <w:pStyle w:val="TableContents"/>
              <w:bidi w:val="0"/>
              <w:spacing w:before="0" w:after="283"/>
              <w:jc w:val="right"/>
              <w:rPr/>
            </w:pPr>
            <w:r>
              <w:rPr/>
              <w:t>4</w:t>
            </w:r>
          </w:p>
        </w:tc>
        <w:tc>
          <w:tcPr>
            <w:tcW w:w="290" w:type="dxa"/>
            <w:tcBorders>
              <w:top w:val="single" w:sz="8" w:space="0" w:color="000000"/>
            </w:tcBorders>
            <w:tcMar>
              <w:top w:w="28" w:type="dxa"/>
            </w:tcMar>
            <w:vAlign w:val="center"/>
          </w:tcPr>
          <w:p>
            <w:pPr>
              <w:pStyle w:val="TableContents"/>
              <w:bidi w:val="0"/>
              <w:spacing w:before="0" w:after="283"/>
              <w:jc w:val="left"/>
              <w:rPr/>
            </w:pPr>
            <w:r>
              <w:rPr/>
              <w:t>%</w:t>
            </w:r>
          </w:p>
        </w:tc>
      </w:tr>
      <w:tr>
        <w:trPr/>
        <w:tc>
          <w:tcPr>
            <w:tcW w:w="2330" w:type="dxa"/>
            <w:tcBorders/>
            <w:vAlign w:val="center"/>
          </w:tcPr>
          <w:p>
            <w:pPr>
              <w:pStyle w:val="TableContents"/>
              <w:bidi w:val="0"/>
              <w:spacing w:before="0" w:after="0"/>
              <w:jc w:val="left"/>
              <w:rPr>
                <w:spacing w:val="0"/>
              </w:rPr>
            </w:pPr>
            <w:r>
              <w:rPr>
                <w:spacing w:val="0"/>
              </w:rPr>
              <w:t>Operating income (loss)</w:t>
            </w:r>
          </w:p>
        </w:tc>
        <w:tc>
          <w:tcPr>
            <w:tcW w:w="17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b/>
              </w:rPr>
            </w:pPr>
            <w:r>
              <w:rPr>
                <w:b/>
              </w:rPr>
              <w:t>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272</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pacing w:val="0"/>
          <w:sz w:val="18"/>
        </w:rPr>
        <w:t>Net sales: </w:t>
      </w:r>
      <w:r>
        <w:rPr>
          <w:rFonts w:ascii="Times New Roman" w:hAnsi="Times New Roman"/>
          <w:spacing w:val="0"/>
          <w:sz w:val="18"/>
        </w:rPr>
        <w:t> The net sales increase included revenue from the prior year merger of $112 million and favorable foreign currency changes of $84 million that were partially offset by a $110 million decrease in selling prices primarily due to the pass-through of lower raw material costs and a 2% organic volume decline, which was attributed to strength in various product categories, being more than offset by competitive pressures in South America, winter storm disruptions in North America and general market softness in Europe.</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pacing w:val="0"/>
          <w:sz w:val="18"/>
        </w:rPr>
        <w:t>Operating income (loss):</w:t>
      </w:r>
      <w:r>
        <w:rPr>
          <w:rFonts w:ascii="Times New Roman" w:hAnsi="Times New Roman"/>
          <w:spacing w:val="0"/>
          <w:sz w:val="18"/>
        </w:rPr>
        <w:t xml:space="preserve"> The operating income increase included a $17 million favorable impact from decreased business integration costs, a $12 million non-recurring inventory fair value step-up charge in the prior year, lower depreciation and amortization expenses of $14 million and operating income from the prior year merger.</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b/>
          <w:i/>
          <w:spacing w:val="0"/>
          <w:sz w:val="18"/>
        </w:rPr>
        <w:t>Other expense, net:</w:t>
      </w:r>
      <w:r>
        <w:rPr>
          <w:rFonts w:ascii="Times New Roman" w:hAnsi="Times New Roman"/>
          <w:spacing w:val="0"/>
          <w:sz w:val="18"/>
        </w:rPr>
        <w:t xml:space="preserve"> The decrease in other expense is primarily due to a $15 million prepayment penalty charge for retiring debt in the prior year in connection with the prior year merger as well as favorable changes in currency costs related to intercompany loans.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b/>
          <w:i/>
          <w:spacing w:val="0"/>
          <w:sz w:val="18"/>
        </w:rPr>
        <w:t>Interest expense, net: </w:t>
      </w:r>
      <w:r>
        <w:rPr>
          <w:rFonts w:ascii="Times New Roman" w:hAnsi="Times New Roman"/>
          <w:spacing w:val="0"/>
          <w:sz w:val="18"/>
        </w:rPr>
        <w:t>The interest expense, net increase is primarily attributed to incurred debt connected with the prior year merger that closed on November 4, 2024 partially offset by changes in interest rates and the repayment of long-term borrowings.</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Changes in Comprehensive Income</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pacing w:val="0"/>
          <w:sz w:val="18"/>
        </w:rPr>
        <w:t>The $</w:t>
      </w:r>
      <w:r>
        <w:rPr>
          <w:rFonts w:ascii="Times New Roman" w:hAnsi="Times New Roman"/>
          <w:sz w:val="18"/>
        </w:rPr>
        <w:t>113</w:t>
      </w:r>
      <w:r>
        <w:rPr>
          <w:rFonts w:ascii="Times New Roman" w:hAnsi="Times New Roman"/>
          <w:spacing w:val="0"/>
          <w:sz w:val="18"/>
        </w:rPr>
        <w:t> million increase in comprehensive income from the Prior YTD is attributed to a $</w:t>
      </w:r>
      <w:r>
        <w:rPr>
          <w:rFonts w:ascii="Times New Roman" w:hAnsi="Times New Roman"/>
          <w:sz w:val="18"/>
        </w:rPr>
        <w:t>64</w:t>
      </w:r>
      <w:r>
        <w:rPr>
          <w:rFonts w:ascii="Times New Roman" w:hAnsi="Times New Roman"/>
          <w:spacing w:val="0"/>
          <w:sz w:val="18"/>
        </w:rPr>
        <w:t> million favorable change in currency translation and a $</w:t>
      </w:r>
      <w:r>
        <w:rPr>
          <w:rFonts w:ascii="Times New Roman" w:hAnsi="Times New Roman"/>
          <w:sz w:val="18"/>
        </w:rPr>
        <w:t>49</w:t>
      </w:r>
      <w:r>
        <w:rPr>
          <w:rFonts w:ascii="Times New Roman" w:hAnsi="Times New Roman"/>
          <w:spacing w:val="0"/>
          <w:sz w:val="18"/>
        </w:rPr>
        <w:t> million increase in net income.  Currency translation changes are primarily related to non-U.S. subsidiaries with a functional currency other than the U.S. dollar, whereby assets and liabilities are translated from the respective functional currency into U.S. dollars using period-end exchange rates.  The change in currency translation in the YTD was primarily attributed to locations utilizing the Euro and Brazilian real as their functional currency.  As part of its overall risk management, the Company uses derivative instruments to reduce foreign currency exposure to translation of certain foreign operations.  The Company records changes to the fair value of these instruments in Accumulated other comprehensive loss.  The change in fair value of these instruments in current fiscal 2026 versus fiscal 2025 is primarily attributed to the change in the forward foreign exchange curves between measurement dates.</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16</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Segment Overview</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Americas</w:t>
      </w:r>
    </w:p>
    <w:tbl>
      <w:tblPr>
        <w:tblW w:w="7156" w:type="dxa"/>
        <w:jc w:val="left"/>
        <w:tblInd w:w="0" w:type="dxa"/>
        <w:tblLayout w:type="fixed"/>
        <w:tblCellMar>
          <w:top w:w="0" w:type="dxa"/>
          <w:left w:w="0" w:type="dxa"/>
          <w:bottom w:w="0" w:type="dxa"/>
          <w:right w:w="0" w:type="dxa"/>
        </w:tblCellMar>
      </w:tblPr>
      <w:tblGrid>
        <w:gridCol w:w="1940"/>
        <w:gridCol w:w="170"/>
        <w:gridCol w:w="575"/>
        <w:gridCol w:w="90"/>
        <w:gridCol w:w="90"/>
        <w:gridCol w:w="170"/>
        <w:gridCol w:w="1085"/>
        <w:gridCol w:w="90"/>
        <w:gridCol w:w="90"/>
        <w:gridCol w:w="170"/>
        <w:gridCol w:w="1025"/>
        <w:gridCol w:w="90"/>
        <w:gridCol w:w="90"/>
        <w:gridCol w:w="91"/>
        <w:gridCol w:w="1100"/>
        <w:gridCol w:w="290"/>
      </w:tblGrid>
      <w:tr>
        <w:trPr/>
        <w:tc>
          <w:tcPr>
            <w:tcW w:w="194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575" w:type="dxa"/>
            <w:tcBorders>
              <w:bottom w:val="single" w:sz="2" w:space="0" w:color="000000"/>
            </w:tcBorders>
            <w:tcMar>
              <w:bottom w:w="28" w:type="dxa"/>
            </w:tcMar>
            <w:vAlign w:val="center"/>
          </w:tcPr>
          <w:p>
            <w:pPr>
              <w:pStyle w:val="TableContents"/>
              <w:bidi w:val="0"/>
              <w:spacing w:before="0" w:after="283"/>
              <w:jc w:val="center"/>
              <w:rPr>
                <w:b/>
                <w:color w:val="000000"/>
              </w:rPr>
            </w:pPr>
            <w:r>
              <w:rPr>
                <w:b/>
                <w:color w:val="000000"/>
              </w:rPr>
              <w:t>YTD</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8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Prior YTD</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290"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940" w:type="dxa"/>
            <w:tcBorders/>
            <w:vAlign w:val="center"/>
          </w:tcPr>
          <w:p>
            <w:pPr>
              <w:pStyle w:val="TableContents"/>
              <w:bidi w:val="0"/>
              <w:spacing w:before="0" w:after="0"/>
              <w:jc w:val="left"/>
              <w:rPr/>
            </w:pPr>
            <w:r>
              <w:rPr>
                <w:color w:val="000000"/>
              </w:rPr>
              <w:t>Net sales</w:t>
            </w:r>
            <w:r>
              <w:rPr/>
              <w:t xml:space="preserve"> </w:t>
            </w:r>
          </w:p>
        </w:tc>
        <w:tc>
          <w:tcPr>
            <w:tcW w:w="170" w:type="dxa"/>
            <w:tcBorders>
              <w:top w:val="single" w:sz="8" w:space="0" w:color="000000"/>
            </w:tcBorders>
            <w:tcMar>
              <w:top w:w="28" w:type="dxa"/>
            </w:tcMar>
            <w:vAlign w:val="center"/>
          </w:tcPr>
          <w:p>
            <w:pPr>
              <w:pStyle w:val="TableContents"/>
              <w:bidi w:val="0"/>
              <w:spacing w:before="0" w:after="283"/>
              <w:jc w:val="left"/>
              <w:rPr>
                <w:b/>
                <w:color w:val="000000"/>
              </w:rPr>
            </w:pPr>
            <w:r>
              <w:rPr>
                <w:b/>
                <w:color w:val="000000"/>
              </w:rPr>
              <w:t>$</w:t>
            </w:r>
          </w:p>
        </w:tc>
        <w:tc>
          <w:tcPr>
            <w:tcW w:w="575" w:type="dxa"/>
            <w:tcBorders>
              <w:top w:val="single" w:sz="8" w:space="0" w:color="000000"/>
            </w:tcBorders>
            <w:tcMar>
              <w:top w:w="28" w:type="dxa"/>
            </w:tcMar>
            <w:vAlign w:val="center"/>
          </w:tcPr>
          <w:p>
            <w:pPr>
              <w:pStyle w:val="TableContents"/>
              <w:bidi w:val="0"/>
              <w:spacing w:before="0" w:after="283"/>
              <w:jc w:val="right"/>
              <w:rPr>
                <w:b/>
                <w:color w:val="000000"/>
              </w:rPr>
            </w:pPr>
            <w:r>
              <w:rPr>
                <w:b/>
                <w:color w:val="000000"/>
              </w:rPr>
              <w:t>877</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08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893</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02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(16)</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top w:val="single" w:sz="8" w:space="0" w:color="000000"/>
            </w:tcBorders>
            <w:tcMar>
              <w:top w:w="28" w:type="dxa"/>
            </w:tcMar>
            <w:vAlign w:val="center"/>
          </w:tcPr>
          <w:p>
            <w:pPr>
              <w:pStyle w:val="TableContents"/>
              <w:bidi w:val="0"/>
              <w:spacing w:before="0" w:after="283"/>
              <w:ind w:left="0" w:right="0" w:firstLine="1"/>
              <w:jc w:val="left"/>
              <w:rPr>
                <w:color w:val="000000"/>
              </w:rPr>
            </w:pPr>
            <w:r>
              <w:rPr>
                <w:color w:val="000000"/>
              </w:rPr>
              <w:t> </w:t>
            </w:r>
          </w:p>
        </w:tc>
        <w:tc>
          <w:tcPr>
            <w:tcW w:w="1100"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(2)</w:t>
            </w:r>
          </w:p>
        </w:tc>
        <w:tc>
          <w:tcPr>
            <w:tcW w:w="2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r>
      <w:tr>
        <w:trPr/>
        <w:tc>
          <w:tcPr>
            <w:tcW w:w="1940" w:type="dxa"/>
            <w:tcBorders/>
            <w:vAlign w:val="center"/>
          </w:tcPr>
          <w:p>
            <w:pPr>
              <w:pStyle w:val="TableContents"/>
              <w:bidi w:val="0"/>
              <w:spacing w:before="0" w:after="0"/>
              <w:jc w:val="left"/>
              <w:rPr/>
            </w:pPr>
            <w:r>
              <w:rPr/>
              <w:t xml:space="preserve">Adjusted EBITDA </w:t>
            </w:r>
          </w:p>
        </w:tc>
        <w:tc>
          <w:tcPr>
            <w:tcW w:w="170" w:type="dxa"/>
            <w:tcBorders/>
            <w:vAlign w:val="center"/>
          </w:tcPr>
          <w:p>
            <w:pPr>
              <w:pStyle w:val="TableContents"/>
              <w:bidi w:val="0"/>
              <w:spacing w:before="0" w:after="283"/>
              <w:jc w:val="left"/>
              <w:rPr>
                <w:color w:val="000000"/>
              </w:rPr>
            </w:pPr>
            <w:r>
              <w:rPr>
                <w:color w:val="000000"/>
              </w:rPr>
              <w:t> </w:t>
            </w:r>
          </w:p>
        </w:tc>
        <w:tc>
          <w:tcPr>
            <w:tcW w:w="575" w:type="dxa"/>
            <w:tcBorders/>
            <w:vAlign w:val="center"/>
          </w:tcPr>
          <w:p>
            <w:pPr>
              <w:pStyle w:val="TableContents"/>
              <w:bidi w:val="0"/>
              <w:spacing w:before="0" w:after="283"/>
              <w:jc w:val="right"/>
              <w:rPr>
                <w:b/>
                <w:color w:val="000000"/>
              </w:rPr>
            </w:pPr>
            <w:r>
              <w:rPr>
                <w:b/>
                <w:color w:val="000000"/>
              </w:rPr>
              <w:t>116</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085" w:type="dxa"/>
            <w:tcBorders/>
            <w:vAlign w:val="center"/>
          </w:tcPr>
          <w:p>
            <w:pPr>
              <w:pStyle w:val="TableContents"/>
              <w:bidi w:val="0"/>
              <w:spacing w:before="0" w:after="283"/>
              <w:jc w:val="right"/>
              <w:rPr>
                <w:color w:val="000000"/>
              </w:rPr>
            </w:pPr>
            <w:r>
              <w:rPr>
                <w:color w:val="000000"/>
              </w:rPr>
              <w:t>120</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right"/>
              <w:rPr>
                <w:color w:val="000000"/>
              </w:rPr>
            </w:pPr>
            <w:r>
              <w:rPr>
                <w:color w:val="000000"/>
              </w:rPr>
              <w:t>(4)</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color w:val="000000"/>
              </w:rPr>
            </w:pPr>
            <w:r>
              <w:rPr>
                <w:color w:val="000000"/>
              </w:rPr>
              <w:t> </w:t>
            </w:r>
          </w:p>
        </w:tc>
        <w:tc>
          <w:tcPr>
            <w:tcW w:w="1100" w:type="dxa"/>
            <w:tcBorders/>
            <w:vAlign w:val="center"/>
          </w:tcPr>
          <w:p>
            <w:pPr>
              <w:pStyle w:val="TableContents"/>
              <w:bidi w:val="0"/>
              <w:spacing w:before="0" w:after="283"/>
              <w:jc w:val="right"/>
              <w:rPr>
                <w:color w:val="000000"/>
              </w:rPr>
            </w:pPr>
            <w:r>
              <w:rPr>
                <w:color w:val="000000"/>
              </w:rPr>
              <w:t>(3)</w:t>
            </w:r>
          </w:p>
        </w:tc>
        <w:tc>
          <w:tcPr>
            <w:tcW w:w="290" w:type="dxa"/>
            <w:tcBorders/>
            <w:vAlign w:val="center"/>
          </w:tcPr>
          <w:p>
            <w:pPr>
              <w:pStyle w:val="TableContents"/>
              <w:bidi w:val="0"/>
              <w:spacing w:before="0" w:after="283"/>
              <w:jc w:val="left"/>
              <w:rPr>
                <w:color w:val="000000"/>
              </w:rPr>
            </w:pPr>
            <w:r>
              <w:rPr>
                <w:color w:val="000000"/>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pacing w:val="0"/>
          <w:sz w:val="18"/>
        </w:rPr>
        <w:t>Net sales:</w:t>
      </w:r>
      <w:r>
        <w:rPr>
          <w:rFonts w:ascii="Times New Roman" w:hAnsi="Times New Roman"/>
          <w:spacing w:val="0"/>
          <w:sz w:val="18"/>
        </w:rPr>
        <w:t> The net sales decline included an $81 million decrease in selling prices primarily due to the pass-through of lower raw material costs and competitive pressures from imports in South America that were offset by revenue from the prior year merger of $42 million and favorable foreign currency changes of $19 million.</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pacing w:val="0"/>
          <w:sz w:val="18"/>
        </w:rPr>
        <w:t>Adjusted EBITDA: </w:t>
      </w:r>
      <w:r>
        <w:rPr>
          <w:rFonts w:ascii="Times New Roman" w:hAnsi="Times New Roman"/>
          <w:spacing w:val="0"/>
          <w:sz w:val="18"/>
        </w:rPr>
        <w:t>The adjusted EBITDA decline was primarily as a result of unfavorable price cost spread of $9 million partially offset by contributions from the prior year merger of $5 million.</w:t>
      </w:r>
    </w:p>
    <w:p>
      <w:pPr>
        <w:pStyle w:val="TextBody"/>
        <w:bidi w:val="0"/>
        <w:spacing w:before="0" w:after="0"/>
        <w:jc w:val="left"/>
        <w:rPr/>
      </w:pPr>
      <w:r>
        <w:rPr/>
        <w:t> </w:t>
      </w:r>
    </w:p>
    <w:p>
      <w:pPr>
        <w:pStyle w:val="TextBody"/>
        <w:bidi w:val="0"/>
        <w:spacing w:before="0" w:after="0"/>
        <w:jc w:val="left"/>
        <w:rPr>
          <w:rFonts w:ascii="Times New Roman" w:hAnsi="Times New Roman"/>
          <w:b/>
          <w:i/>
          <w:spacing w:val="0"/>
          <w:sz w:val="18"/>
        </w:rPr>
      </w:pPr>
      <w:r>
        <w:rPr>
          <w:rFonts w:ascii="Times New Roman" w:hAnsi="Times New Roman"/>
          <w:b/>
          <w:i/>
          <w:spacing w:val="0"/>
          <w:sz w:val="18"/>
        </w:rPr>
        <w:t>Rest of World</w:t>
      </w:r>
    </w:p>
    <w:tbl>
      <w:tblPr>
        <w:tblW w:w="7096" w:type="dxa"/>
        <w:jc w:val="left"/>
        <w:tblInd w:w="0" w:type="dxa"/>
        <w:tblLayout w:type="fixed"/>
        <w:tblCellMar>
          <w:top w:w="0" w:type="dxa"/>
          <w:left w:w="0" w:type="dxa"/>
          <w:bottom w:w="0" w:type="dxa"/>
          <w:right w:w="0" w:type="dxa"/>
        </w:tblCellMar>
      </w:tblPr>
      <w:tblGrid>
        <w:gridCol w:w="1880"/>
        <w:gridCol w:w="170"/>
        <w:gridCol w:w="575"/>
        <w:gridCol w:w="90"/>
        <w:gridCol w:w="90"/>
        <w:gridCol w:w="170"/>
        <w:gridCol w:w="1085"/>
        <w:gridCol w:w="90"/>
        <w:gridCol w:w="90"/>
        <w:gridCol w:w="170"/>
        <w:gridCol w:w="1025"/>
        <w:gridCol w:w="90"/>
        <w:gridCol w:w="90"/>
        <w:gridCol w:w="91"/>
        <w:gridCol w:w="1100"/>
        <w:gridCol w:w="290"/>
      </w:tblGrid>
      <w:tr>
        <w:trPr/>
        <w:tc>
          <w:tcPr>
            <w:tcW w:w="18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575" w:type="dxa"/>
            <w:tcBorders>
              <w:bottom w:val="single" w:sz="2" w:space="0" w:color="000000"/>
            </w:tcBorders>
            <w:tcMar>
              <w:bottom w:w="28" w:type="dxa"/>
            </w:tcMar>
            <w:vAlign w:val="center"/>
          </w:tcPr>
          <w:p>
            <w:pPr>
              <w:pStyle w:val="TableContents"/>
              <w:bidi w:val="0"/>
              <w:spacing w:before="0" w:after="283"/>
              <w:jc w:val="center"/>
              <w:rPr>
                <w:b/>
              </w:rPr>
            </w:pPr>
            <w:r>
              <w:rPr>
                <w:b/>
              </w:rPr>
              <w:t>YTD</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8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Prior YTD</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290"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880" w:type="dxa"/>
            <w:tcBorders/>
            <w:vAlign w:val="center"/>
          </w:tcPr>
          <w:p>
            <w:pPr>
              <w:pStyle w:val="TableContents"/>
              <w:bidi w:val="0"/>
              <w:spacing w:before="0" w:after="0"/>
              <w:jc w:val="left"/>
              <w:rPr/>
            </w:pPr>
            <w:r>
              <w:rPr>
                <w:color w:val="000000"/>
              </w:rPr>
              <w:t>Net sales</w:t>
            </w:r>
            <w:r>
              <w:rPr/>
              <w:t xml:space="preserve"> </w:t>
            </w:r>
          </w:p>
        </w:tc>
        <w:tc>
          <w:tcPr>
            <w:tcW w:w="170" w:type="dxa"/>
            <w:tcBorders>
              <w:top w:val="single" w:sz="8" w:space="0" w:color="000000"/>
            </w:tcBorders>
            <w:tcMar>
              <w:top w:w="28" w:type="dxa"/>
            </w:tcMar>
            <w:vAlign w:val="center"/>
          </w:tcPr>
          <w:p>
            <w:pPr>
              <w:pStyle w:val="TableContents"/>
              <w:bidi w:val="0"/>
              <w:spacing w:before="0" w:after="283"/>
              <w:jc w:val="left"/>
              <w:rPr>
                <w:b/>
                <w:color w:val="000000"/>
              </w:rPr>
            </w:pPr>
            <w:r>
              <w:rPr>
                <w:b/>
                <w:color w:val="000000"/>
              </w:rPr>
              <w:t>$</w:t>
            </w:r>
          </w:p>
        </w:tc>
        <w:tc>
          <w:tcPr>
            <w:tcW w:w="575" w:type="dxa"/>
            <w:tcBorders>
              <w:top w:val="single" w:sz="8" w:space="0" w:color="000000"/>
            </w:tcBorders>
            <w:tcMar>
              <w:top w:w="28" w:type="dxa"/>
            </w:tcMar>
            <w:vAlign w:val="center"/>
          </w:tcPr>
          <w:p>
            <w:pPr>
              <w:pStyle w:val="TableContents"/>
              <w:bidi w:val="0"/>
              <w:spacing w:before="0" w:after="283"/>
              <w:jc w:val="right"/>
              <w:rPr>
                <w:b/>
                <w:color w:val="000000"/>
              </w:rPr>
            </w:pPr>
            <w:r>
              <w:rPr>
                <w:b/>
                <w:color w:val="000000"/>
              </w:rPr>
              <w:t>711</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08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633</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02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78</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top w:val="single" w:sz="8" w:space="0" w:color="000000"/>
            </w:tcBorders>
            <w:tcMar>
              <w:top w:w="28" w:type="dxa"/>
            </w:tcMar>
            <w:vAlign w:val="center"/>
          </w:tcPr>
          <w:p>
            <w:pPr>
              <w:pStyle w:val="TableContents"/>
              <w:bidi w:val="0"/>
              <w:spacing w:before="0" w:after="283"/>
              <w:ind w:left="0" w:right="0" w:firstLine="1"/>
              <w:jc w:val="left"/>
              <w:rPr>
                <w:color w:val="000000"/>
              </w:rPr>
            </w:pPr>
            <w:r>
              <w:rPr>
                <w:color w:val="000000"/>
              </w:rPr>
              <w:t> </w:t>
            </w:r>
          </w:p>
        </w:tc>
        <w:tc>
          <w:tcPr>
            <w:tcW w:w="1100"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12</w:t>
            </w:r>
          </w:p>
        </w:tc>
        <w:tc>
          <w:tcPr>
            <w:tcW w:w="2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r>
      <w:tr>
        <w:trPr/>
        <w:tc>
          <w:tcPr>
            <w:tcW w:w="1880" w:type="dxa"/>
            <w:tcBorders/>
            <w:vAlign w:val="center"/>
          </w:tcPr>
          <w:p>
            <w:pPr>
              <w:pStyle w:val="TableContents"/>
              <w:bidi w:val="0"/>
              <w:spacing w:before="0" w:after="0"/>
              <w:jc w:val="left"/>
              <w:rPr>
                <w:color w:val="000000"/>
              </w:rPr>
            </w:pPr>
            <w:r>
              <w:rPr>
                <w:color w:val="000000"/>
              </w:rPr>
              <w:t>Adjusted EBITDA</w:t>
            </w:r>
          </w:p>
        </w:tc>
        <w:tc>
          <w:tcPr>
            <w:tcW w:w="170" w:type="dxa"/>
            <w:tcBorders/>
            <w:vAlign w:val="center"/>
          </w:tcPr>
          <w:p>
            <w:pPr>
              <w:pStyle w:val="TableContents"/>
              <w:bidi w:val="0"/>
              <w:spacing w:before="0" w:after="283"/>
              <w:jc w:val="left"/>
              <w:rPr>
                <w:color w:val="000000"/>
              </w:rPr>
            </w:pPr>
            <w:r>
              <w:rPr>
                <w:color w:val="000000"/>
              </w:rPr>
              <w:t> </w:t>
            </w:r>
          </w:p>
        </w:tc>
        <w:tc>
          <w:tcPr>
            <w:tcW w:w="575" w:type="dxa"/>
            <w:tcBorders/>
            <w:vAlign w:val="center"/>
          </w:tcPr>
          <w:p>
            <w:pPr>
              <w:pStyle w:val="TableContents"/>
              <w:bidi w:val="0"/>
              <w:spacing w:before="0" w:after="283"/>
              <w:jc w:val="right"/>
              <w:rPr>
                <w:b/>
                <w:color w:val="000000"/>
              </w:rPr>
            </w:pPr>
            <w:r>
              <w:rPr>
                <w:b/>
                <w:color w:val="000000"/>
              </w:rPr>
              <w:t>67</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085" w:type="dxa"/>
            <w:tcBorders/>
            <w:vAlign w:val="center"/>
          </w:tcPr>
          <w:p>
            <w:pPr>
              <w:pStyle w:val="TableContents"/>
              <w:bidi w:val="0"/>
              <w:spacing w:before="0" w:after="283"/>
              <w:jc w:val="right"/>
              <w:rPr>
                <w:color w:val="000000"/>
              </w:rPr>
            </w:pPr>
            <w:r>
              <w:rPr>
                <w:color w:val="000000"/>
              </w:rPr>
              <w:t>53</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right"/>
              <w:rPr>
                <w:color w:val="000000"/>
              </w:rPr>
            </w:pPr>
            <w:r>
              <w:rPr>
                <w:color w:val="000000"/>
              </w:rPr>
              <w:t>14</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color w:val="000000"/>
              </w:rPr>
            </w:pPr>
            <w:r>
              <w:rPr>
                <w:color w:val="000000"/>
              </w:rPr>
              <w:t>26</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pacing w:val="0"/>
          <w:sz w:val="18"/>
        </w:rPr>
        <w:t>Net sales:</w:t>
      </w:r>
      <w:r>
        <w:rPr>
          <w:rFonts w:ascii="Times New Roman" w:hAnsi="Times New Roman"/>
          <w:spacing w:val="0"/>
          <w:sz w:val="18"/>
        </w:rPr>
        <w:t> The net sales increase included revenue from the prior year merger of $70 million and a $65 million favorable impact from foreign currency changes partially offset by a 4% organic volume decline which was primarily attributed to general market softness in Europe and a $29 million decrease in selling prices primarily due to the pass-through of lower raw material costs.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spacing w:val="0"/>
          <w:sz w:val="18"/>
        </w:rPr>
        <w:t>Adjusted EBITDA: </w:t>
      </w:r>
      <w:r>
        <w:rPr>
          <w:rFonts w:ascii="Times New Roman" w:hAnsi="Times New Roman"/>
          <w:spacing w:val="0"/>
          <w:sz w:val="18"/>
        </w:rPr>
        <w:t xml:space="preserve">The adjusted EBITDA increase included a contribution from the prior year merger of $3 million, favorable impacts from price cost spread of $11 million as the result of synergy realization and mix improvement and a $3 million favorable benefit from foreign currency changes partially offset by a $4 million negative impact from softer volumes.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17</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b/>
          <w:i/>
          <w:sz w:val="18"/>
        </w:rPr>
      </w:pPr>
      <w:r>
        <w:rPr>
          <w:rFonts w:ascii="Times New Roman" w:hAnsi="Times New Roman"/>
          <w:b/>
          <w:i/>
          <w:sz w:val="18"/>
        </w:rPr>
        <w:t xml:space="preserve">Liquidity and Capital Resources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Senior Secured Credit Facility</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We manage our global cash requirements considering (i) available funds among the many subsidiaries through which we conduct business, (ii) the geographic location of our liquidity needs, and (iii) the cost to access international cash balances.  At the end of the Quarter, the Company had no outstanding balance on its asset-based revolving line of credit that matures in November 2029. The Company was in compliance with all covenants at the end of the Quarter.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Cash Flows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Net cash from operating activities increased $82 million from the Prior YTD primarily related to improved working capital.</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Net cash from investing activities decreased $49 million from the Prior YTD primarily attributed to cash acquired in connection with the merger and settlement of short-term marketable securities in Prior YTD partially offset by lower additions to property, plant and equipment.</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Net cash from financing activities decreased $95 million from the Prior YTD primarily attributed to $63 million prepayment of debt in the Quarter paired with proceeds from borrowings netted with transfers to parent in the Prior YTD. </w:t>
      </w:r>
    </w:p>
    <w:p>
      <w:pPr>
        <w:pStyle w:val="TextBody"/>
        <w:bidi w:val="0"/>
        <w:spacing w:before="0" w:after="0"/>
        <w:jc w:val="left"/>
        <w:rPr/>
      </w:pPr>
      <w:r>
        <w:rPr/>
        <w:t xml:space="preserve">  </w:t>
      </w:r>
    </w:p>
    <w:p>
      <w:pPr>
        <w:pStyle w:val="TextBody"/>
        <w:bidi w:val="0"/>
        <w:spacing w:before="0" w:after="0"/>
        <w:jc w:val="left"/>
        <w:rPr>
          <w:rFonts w:ascii="Times New Roman" w:hAnsi="Times New Roman"/>
          <w:i/>
          <w:sz w:val="18"/>
        </w:rPr>
      </w:pPr>
      <w:r>
        <w:rPr>
          <w:rFonts w:ascii="Times New Roman" w:hAnsi="Times New Roman"/>
          <w:i/>
          <w:sz w:val="18"/>
        </w:rPr>
        <w:t>Free Cash Flow</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Our consolidated free cash flow for the YTD is summarized as follows: </w:t>
      </w:r>
    </w:p>
    <w:p>
      <w:pPr>
        <w:pStyle w:val="TextBody"/>
        <w:bidi w:val="0"/>
        <w:spacing w:before="0" w:after="0"/>
        <w:jc w:val="left"/>
        <w:rPr/>
      </w:pPr>
      <w:r>
        <w:rPr/>
        <w:t> </w:t>
      </w:r>
    </w:p>
    <w:tbl>
      <w:tblPr>
        <w:tblW w:w="6170" w:type="dxa"/>
        <w:jc w:val="left"/>
        <w:tblInd w:w="0" w:type="dxa"/>
        <w:tblLayout w:type="fixed"/>
        <w:tblCellMar>
          <w:top w:w="0" w:type="dxa"/>
          <w:left w:w="0" w:type="dxa"/>
          <w:bottom w:w="0" w:type="dxa"/>
          <w:right w:w="0" w:type="dxa"/>
        </w:tblCellMar>
      </w:tblPr>
      <w:tblGrid>
        <w:gridCol w:w="4130"/>
        <w:gridCol w:w="170"/>
        <w:gridCol w:w="1640"/>
        <w:gridCol w:w="230"/>
      </w:tblGrid>
      <w:tr>
        <w:trPr/>
        <w:tc>
          <w:tcPr>
            <w:tcW w:w="41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13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center"/>
              <w:rPr>
                <w:b/>
              </w:rPr>
            </w:pPr>
            <w:r>
              <w:rPr>
                <w:b/>
              </w:rPr>
              <w:t>March 28, 2026</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Cash flow from operating activities</w:t>
            </w:r>
          </w:p>
        </w:tc>
        <w:tc>
          <w:tcPr>
            <w:tcW w:w="170" w:type="dxa"/>
            <w:tcBorders/>
            <w:vAlign w:val="center"/>
          </w:tcPr>
          <w:p>
            <w:pPr>
              <w:pStyle w:val="TableContents"/>
              <w:bidi w:val="0"/>
              <w:spacing w:before="0" w:after="283"/>
              <w:jc w:val="left"/>
              <w:rPr>
                <w:b/>
              </w:rPr>
            </w:pPr>
            <w:r>
              <w:rPr>
                <w:b/>
              </w:rPr>
              <w:t>$</w:t>
            </w:r>
          </w:p>
        </w:tc>
        <w:tc>
          <w:tcPr>
            <w:tcW w:w="1640" w:type="dxa"/>
            <w:tcBorders/>
            <w:vAlign w:val="center"/>
          </w:tcPr>
          <w:p>
            <w:pPr>
              <w:pStyle w:val="TableContents"/>
              <w:bidi w:val="0"/>
              <w:spacing w:before="0" w:after="283"/>
              <w:jc w:val="right"/>
              <w:rPr>
                <w:b/>
              </w:rPr>
            </w:pPr>
            <w:r>
              <w:rPr>
                <w:b/>
              </w:rPr>
              <w:t>89</w:t>
            </w:r>
          </w:p>
        </w:tc>
        <w:tc>
          <w:tcPr>
            <w:tcW w:w="23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Additions to property, plant and equipment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40" w:type="dxa"/>
            <w:tcBorders>
              <w:bottom w:val="single" w:sz="2" w:space="0" w:color="000000"/>
            </w:tcBorders>
            <w:tcMar>
              <w:bottom w:w="28" w:type="dxa"/>
            </w:tcMar>
            <w:vAlign w:val="center"/>
          </w:tcPr>
          <w:p>
            <w:pPr>
              <w:pStyle w:val="TableContents"/>
              <w:bidi w:val="0"/>
              <w:spacing w:before="0" w:after="283"/>
              <w:jc w:val="right"/>
              <w:rPr>
                <w:b/>
              </w:rPr>
            </w:pPr>
            <w:r>
              <w:rPr>
                <w:b/>
              </w:rPr>
              <w:t>(29</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Free cash flow</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640" w:type="dxa"/>
            <w:tcBorders>
              <w:bottom w:val="double" w:sz="6" w:space="0" w:color="000000"/>
            </w:tcBorders>
            <w:tcMar>
              <w:bottom w:w="28" w:type="dxa"/>
            </w:tcMar>
            <w:vAlign w:val="center"/>
          </w:tcPr>
          <w:p>
            <w:pPr>
              <w:pStyle w:val="TableContents"/>
              <w:bidi w:val="0"/>
              <w:spacing w:before="0" w:after="283"/>
              <w:jc w:val="right"/>
              <w:rPr>
                <w:b/>
              </w:rPr>
            </w:pPr>
            <w:r>
              <w:rPr>
                <w:b/>
              </w:rPr>
              <w:t>60</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Liquidity Outlook</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At </w:t>
      </w:r>
      <w:r>
        <w:rPr>
          <w:rFonts w:ascii="Times New Roman" w:hAnsi="Times New Roman"/>
          <w:spacing w:val="0"/>
          <w:sz w:val="18"/>
        </w:rPr>
        <w:t>March 28, 2026</w:t>
      </w:r>
      <w:r>
        <w:rPr>
          <w:rFonts w:ascii="Times New Roman" w:hAnsi="Times New Roman"/>
          <w:sz w:val="18"/>
        </w:rPr>
        <w:t xml:space="preserve">, our cash balance was $303 million, of which approximately 64% is located outside the U.S. We believe our existing U.S. based cash and cash flow from U.S. operations, together with available borrowings under our senior secured credit facilities, will be adequate to meet our short-term and long-term liquidity needs with the exception of funds needed to cover all long-term debt obligations, which we intend to refinance prior to maturity.  The Company has the ability to repatriate the cash located outside the U.S. to the extent not needed to meet operational and capital needs without significant restrictions.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18</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18"/>
        </w:rPr>
      </w:pPr>
      <w:bookmarkStart w:id="10" w:name="Section27"/>
      <w:bookmarkEnd w:id="10"/>
      <w:r>
        <w:rPr>
          <w:rFonts w:ascii="Times New Roman" w:hAnsi="Times New Roman"/>
          <w:b/>
          <w:sz w:val="20"/>
        </w:rPr>
        <w:t>I</w:t>
      </w:r>
      <w:r>
        <w:rPr>
          <w:rFonts w:ascii="Times New Roman" w:hAnsi="Times New Roman"/>
          <w:b/>
          <w:sz w:val="18"/>
        </w:rPr>
        <w:t>tem 3. Quantitative and Qualitative Disclosures about Market Risk</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Interest Rate Risk</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We are exposed to market risk from changes in interest rates primarily through our senior secured credit facilities and accounts receivable supply chain financing programs.  Our senior secured credit facilities are comprised of (i) $706 million term loan and (ii) the $350 million revolving credit facility with no borrowings outstanding.  Borrowings under our senior secured credit facilities bear interest at a rate equal to an applicable margin plus SOFR. The applicable margin for SOFR rate borrowings under the revolving credit facility ranges from 1.50% to 2.00%, and the margin for the term loan is 4.25% per annum.  As of period end, the SOFR rate of approxima</w:t>
      </w:r>
      <w:r>
        <w:rPr>
          <w:rFonts w:ascii="Times New Roman" w:hAnsi="Times New Roman"/>
          <w:sz w:val="18"/>
          <w:shd w:fill="FFFFFF" w:val="clear"/>
        </w:rPr>
        <w:t>tely 3.67% w</w:t>
      </w:r>
      <w:r>
        <w:rPr>
          <w:rFonts w:ascii="Times New Roman" w:hAnsi="Times New Roman"/>
          <w:sz w:val="18"/>
        </w:rPr>
        <w:t>as applicable to the term loan.  A change of 0.25% on these floating interest rate exposures would increase our annual interest expense by approxima</w:t>
      </w:r>
      <w:r>
        <w:rPr>
          <w:rFonts w:ascii="Times New Roman" w:hAnsi="Times New Roman"/>
          <w:sz w:val="18"/>
          <w:shd w:fill="FFFFFF" w:val="clear"/>
        </w:rPr>
        <w:t>tely $2 million.</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Foreign Currency Risk</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As a global company, we face foreign currency risk exposure from fluctuating currency exchange rates, primarily the U.S. dollar against the Euro, British pound sterling, Argentine peso, and Brazilian real.  Significant fluctuations in currency rates can have a substantial impact, either positive or negative, on our revenue, cost of sales, and operating expenses. Currency translation gains and losses are primarily related to non-U.S. subsidiaries with a functional currency other than U.S. dollars whereby assets and liabilities are translated from the respective functional currency into U.S. dollars using period-end exchange rates and impact our comprehensive income.  A 10% decline in foreign currency exchange rates would have </w:t>
      </w:r>
      <w:r>
        <w:rPr>
          <w:rFonts w:ascii="Times New Roman" w:hAnsi="Times New Roman"/>
          <w:sz w:val="18"/>
          <w:shd w:fill="FFFFFF" w:val="clear"/>
        </w:rPr>
        <w:t>had an $8 million favorable</w:t>
      </w:r>
      <w:r>
        <w:rPr>
          <w:rFonts w:ascii="Times New Roman" w:hAnsi="Times New Roman"/>
          <w:sz w:val="18"/>
        </w:rPr>
        <w:t xml:space="preserve"> impact on our Net income for the quarterly period ended </w:t>
      </w:r>
      <w:r>
        <w:rPr>
          <w:rFonts w:ascii="Times New Roman" w:hAnsi="Times New Roman"/>
          <w:spacing w:val="0"/>
          <w:sz w:val="18"/>
        </w:rPr>
        <w:t>March 28, 2026</w:t>
      </w:r>
      <w:r>
        <w:rPr>
          <w:rFonts w:ascii="Times New Roman" w:hAnsi="Times New Roman"/>
          <w:sz w:val="18"/>
        </w:rPr>
        <w:t>.  </w:t>
      </w:r>
      <w:r>
        <w:rPr>
          <w:rFonts w:ascii="Times New Roman" w:hAnsi="Times New Roman"/>
          <w:sz w:val="18"/>
          <w:shd w:fill="FFFFFF" w:val="clear"/>
        </w:rPr>
        <w:t>See Note 6. F</w:t>
      </w:r>
      <w:r>
        <w:rPr>
          <w:rFonts w:ascii="Times New Roman" w:hAnsi="Times New Roman"/>
          <w:sz w:val="18"/>
        </w:rPr>
        <w:t xml:space="preserve">inancial Instruments and Fair Value Measurements.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bookmarkStart w:id="11" w:name="Section28"/>
      <w:bookmarkEnd w:id="11"/>
      <w:r>
        <w:rPr>
          <w:rFonts w:ascii="Times New Roman" w:hAnsi="Times New Roman"/>
          <w:b/>
          <w:sz w:val="18"/>
        </w:rPr>
        <w:t>Item 4. Controls and Procedures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sz w:val="18"/>
        </w:rPr>
        <w:t>(a) Evaluation of Disclosure Controls and Procedures.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Under applicable SEC regulations, 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As reported in our 2025 Annual Report on Form 10-K, Magnera's management concluded that its internal control over financial reporting and its disclosure controls and procedures were not effective as of September 27, 2025.  This conclusion was specifically impacted by deficiencies in the design and operating effectiveness as well as the level of observable control documentation of our internal controls related to the merger that closed on November 4, 2024, as well as information technology general controls related to legacy U.S. IT systems that are under a transition services agreement. As there were no material errors in the accounting or adjustments to the Consolidated and Combined Financial Statements as a result of these identified deficiencies, management concluded that there was no impact on Magnera's prior or current period Consolidated and Combined Financial Statements and that Magnera's financial statements were presented fairly in all material respects. Since September 27, 2025, Magnera's management has taken remedial actions, and in that regard, has allocated resources internally that we believe will allow us to accelerate remediation.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8"/>
        </w:rPr>
      </w:pPr>
      <w:r>
        <w:rPr>
          <w:rFonts w:ascii="Times New Roman" w:hAnsi="Times New Roman"/>
          <w:sz w:val="18"/>
        </w:rPr>
        <w:t xml:space="preserve">The Company's management, with the participation of the Chief Executive Officer and the Chief Financial Officer, carried out an evaluation of the effectiveness of the design and operation of the disclosure controls and procedures as of </w:t>
      </w:r>
      <w:r>
        <w:rPr>
          <w:rFonts w:ascii="Times New Roman" w:hAnsi="Times New Roman"/>
          <w:spacing w:val="0"/>
          <w:sz w:val="18"/>
        </w:rPr>
        <w:t>March 28, 2026</w:t>
      </w:r>
      <w:r>
        <w:rPr>
          <w:rFonts w:ascii="Times New Roman" w:hAnsi="Times New Roman"/>
          <w:sz w:val="18"/>
        </w:rPr>
        <w:t>.  Because many of the controls related to IT systems are connected with conversions that will occur throughout the fiscal year, management has concluded that our disclosure controls and procedures were not effective as of the last day of the period covered by this report.</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sz w:val="18"/>
        </w:rPr>
        <w:t>(b) Changes in internal control over financial reporting.</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ind w:left="0" w:right="0" w:hanging="0"/>
        <w:jc w:val="left"/>
        <w:rPr>
          <w:rFonts w:ascii="Times New Roman" w:hAnsi="Times New Roman"/>
          <w:sz w:val="18"/>
        </w:rPr>
      </w:pPr>
      <w:r>
        <w:rPr>
          <w:rFonts w:ascii="Times New Roman" w:hAnsi="Times New Roman"/>
          <w:sz w:val="18"/>
        </w:rPr>
        <w:t xml:space="preserve">Except as set forth above, there were no material changes in our internal control over financial reporting that occurred during the quarter ended </w:t>
      </w:r>
      <w:r>
        <w:rPr>
          <w:rFonts w:ascii="Times New Roman" w:hAnsi="Times New Roman"/>
          <w:spacing w:val="0"/>
          <w:sz w:val="18"/>
        </w:rPr>
        <w:t>March 28, 2026</w:t>
      </w:r>
      <w:r>
        <w:rPr>
          <w:rFonts w:ascii="Times New Roman" w:hAnsi="Times New Roman"/>
          <w:sz w:val="18"/>
        </w:rPr>
        <w:t xml:space="preserve"> that have materially affected, or are reasonably likely to materially affect, our internal control over financial reporting.</w:t>
      </w:r>
    </w:p>
    <w:p>
      <w:pPr>
        <w:pStyle w:val="TextBody"/>
        <w:bidi w:val="0"/>
        <w:spacing w:lineRule="auto" w:line="31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19</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18"/>
        </w:rPr>
      </w:pPr>
      <w:bookmarkStart w:id="12" w:name="Section29"/>
      <w:bookmarkEnd w:id="12"/>
      <w:r>
        <w:rPr>
          <w:rFonts w:ascii="Times New Roman" w:hAnsi="Times New Roman"/>
          <w:b/>
          <w:sz w:val="18"/>
        </w:rPr>
        <w:t>Part II – Other Information</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bookmarkStart w:id="13" w:name="Section30"/>
      <w:bookmarkEnd w:id="13"/>
      <w:r>
        <w:rPr>
          <w:rFonts w:ascii="Times New Roman" w:hAnsi="Times New Roman"/>
          <w:b/>
          <w:sz w:val="18"/>
        </w:rPr>
        <w:t>Item 1. Legal Proceedings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See the discussion of legal proceedings contai</w:t>
      </w:r>
      <w:r>
        <w:rPr>
          <w:rFonts w:ascii="Times New Roman" w:hAnsi="Times New Roman"/>
          <w:sz w:val="18"/>
          <w:shd w:fill="FFFFFF" w:val="clear"/>
        </w:rPr>
        <w:t>ned in Note 9. Contingencies and Commitments to our unaudi</w:t>
      </w:r>
      <w:r>
        <w:rPr>
          <w:rFonts w:ascii="Times New Roman" w:hAnsi="Times New Roman"/>
          <w:sz w:val="18"/>
        </w:rPr>
        <w:t xml:space="preserve">ted Consolidated and Combined Financial Statements in Part I, Item 1 of this report, which is incorporated herein by reference.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bookmarkStart w:id="14" w:name="Section31"/>
      <w:bookmarkEnd w:id="14"/>
      <w:r>
        <w:rPr>
          <w:rFonts w:ascii="Times New Roman" w:hAnsi="Times New Roman"/>
          <w:b/>
          <w:sz w:val="18"/>
        </w:rPr>
        <w:t>Item 1A.  Risk Factors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Before investing in our securities, we recommend that investors carefully consider the risks described in our annual reports on Form 10-K and any subsequent periodic reports filed with the SEC. Realization of any of these risks could have a material adverse effect on our business, financial condition, cash flows and results of operations.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We caution readers that the list of risk factors discussed in our SEC filings may not contain all of the material factors that are important to you.  In addition, in light of these risks and uncertainties, the matters referred to in the forward-looking statements contained in this report may not in fact occur.  Accordingly, readers should not place undue reliance on those statements.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20</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18"/>
        </w:rPr>
      </w:pPr>
      <w:bookmarkStart w:id="15" w:name="Section32"/>
      <w:bookmarkEnd w:id="15"/>
      <w:r>
        <w:rPr>
          <w:rFonts w:ascii="Times New Roman" w:hAnsi="Times New Roman"/>
          <w:b/>
          <w:sz w:val="18"/>
        </w:rPr>
        <w:t>Item 6. Exhibits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The following exhibits are filed or furnished herewith or incorporated by reference as indicated.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806"/>
        <w:gridCol w:w="7441"/>
        <w:gridCol w:w="1958"/>
      </w:tblGrid>
      <w:tr>
        <w:trPr/>
        <w:tc>
          <w:tcPr>
            <w:tcW w:w="806" w:type="dxa"/>
            <w:tcBorders/>
            <w:vAlign w:val="center"/>
          </w:tcPr>
          <w:p>
            <w:pPr>
              <w:pStyle w:val="TableContents"/>
              <w:bidi w:val="0"/>
              <w:spacing w:before="0" w:after="283"/>
              <w:jc w:val="left"/>
              <w:rPr/>
            </w:pPr>
            <w:r>
              <w:rPr/>
              <w:t> </w:t>
            </w:r>
          </w:p>
        </w:tc>
        <w:tc>
          <w:tcPr>
            <w:tcW w:w="7441" w:type="dxa"/>
            <w:tcBorders/>
            <w:vAlign w:val="center"/>
          </w:tcPr>
          <w:p>
            <w:pPr>
              <w:pStyle w:val="TableContents"/>
              <w:bidi w:val="0"/>
              <w:spacing w:before="0" w:after="283"/>
              <w:jc w:val="left"/>
              <w:rPr/>
            </w:pPr>
            <w:r>
              <w:rPr/>
              <w:t> </w:t>
            </w:r>
          </w:p>
        </w:tc>
        <w:tc>
          <w:tcPr>
            <w:tcW w:w="1958" w:type="dxa"/>
            <w:tcBorders/>
            <w:tcMar>
              <w:top w:w="0" w:type="dxa"/>
              <w:left w:w="0" w:type="dxa"/>
              <w:bottom w:w="0" w:type="dxa"/>
              <w:right w:w="0" w:type="dxa"/>
            </w:tcMar>
            <w:vAlign w:val="center"/>
          </w:tcPr>
          <w:p>
            <w:pPr>
              <w:pStyle w:val="TableContents"/>
              <w:bidi w:val="0"/>
              <w:spacing w:lineRule="auto" w:line="314" w:before="65" w:after="20"/>
              <w:jc w:val="center"/>
              <w:rPr/>
            </w:pPr>
            <w:r>
              <w:rPr>
                <w:color w:val="000000"/>
              </w:rPr>
              <w:t>Incorporated by reference to</w:t>
            </w:r>
            <w:r>
              <w:rPr/>
              <w:t xml:space="preserve"> </w:t>
            </w:r>
          </w:p>
        </w:tc>
      </w:tr>
      <w:tr>
        <w:trPr/>
        <w:tc>
          <w:tcPr>
            <w:tcW w:w="806" w:type="dxa"/>
            <w:tcBorders/>
            <w:vAlign w:val="center"/>
          </w:tcPr>
          <w:p>
            <w:pPr>
              <w:pStyle w:val="TableContents"/>
              <w:bidi w:val="0"/>
              <w:spacing w:before="0" w:after="283"/>
              <w:jc w:val="left"/>
              <w:rPr/>
            </w:pPr>
            <w:hyperlink w:anchor="ex10-1.htm">
              <w:r>
                <w:rPr>
                  <w:rStyle w:val="InternetLink"/>
                </w:rPr>
                <w:t>10.1</w:t>
              </w:r>
            </w:hyperlink>
            <w:r>
              <w:rPr/>
              <w:t>**</w:t>
            </w:r>
          </w:p>
        </w:tc>
        <w:tc>
          <w:tcPr>
            <w:tcW w:w="7441" w:type="dxa"/>
            <w:tcBorders/>
            <w:vAlign w:val="center"/>
          </w:tcPr>
          <w:p>
            <w:pPr>
              <w:pStyle w:val="TableContents"/>
              <w:bidi w:val="0"/>
              <w:spacing w:before="0" w:after="283"/>
              <w:jc w:val="left"/>
              <w:rPr/>
            </w:pPr>
            <w:r>
              <w:rPr/>
              <w:t>Term Sheet for Employment of Erin Maile</w:t>
            </w:r>
          </w:p>
        </w:tc>
        <w:tc>
          <w:tcPr>
            <w:tcW w:w="1958" w:type="dxa"/>
            <w:tcBorders/>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lineRule="auto" w:line="321" w:before="65" w:after="20"/>
              <w:jc w:val="left"/>
              <w:rPr/>
            </w:pPr>
            <w:hyperlink w:anchor="ex31-1.htm">
              <w:r>
                <w:rPr>
                  <w:rStyle w:val="InternetLink"/>
                  <w:color w:val="000080"/>
                </w:rPr>
                <w:t>31.1</w:t>
              </w:r>
            </w:hyperlink>
            <w:r>
              <w:rPr>
                <w:color w:val="000000"/>
              </w:rPr>
              <w:t>*</w:t>
            </w:r>
            <w:r>
              <w:rPr/>
              <w:t xml:space="preserve"> </w:t>
            </w:r>
          </w:p>
        </w:tc>
        <w:tc>
          <w:tcPr>
            <w:tcW w:w="7441" w:type="dxa"/>
            <w:tcBorders/>
            <w:tcMar>
              <w:top w:w="0" w:type="dxa"/>
              <w:left w:w="0" w:type="dxa"/>
              <w:bottom w:w="0" w:type="dxa"/>
              <w:right w:w="0" w:type="dxa"/>
            </w:tcMar>
            <w:vAlign w:val="center"/>
          </w:tcPr>
          <w:p>
            <w:pPr>
              <w:pStyle w:val="TableContents"/>
              <w:bidi w:val="0"/>
              <w:spacing w:before="65" w:after="20"/>
              <w:jc w:val="left"/>
              <w:rPr>
                <w:color w:val="000000"/>
              </w:rPr>
            </w:pPr>
            <w:r>
              <w:rPr>
                <w:color w:val="000000"/>
              </w:rPr>
              <w:t>Rule 13a-14(a)/15d-14(a) Certification of the Chief Executive Officer.</w:t>
            </w:r>
          </w:p>
        </w:tc>
        <w:tc>
          <w:tcPr>
            <w:tcW w:w="1958" w:type="dxa"/>
            <w:tcBorders/>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65" w:after="20"/>
              <w:jc w:val="left"/>
              <w:rPr/>
            </w:pPr>
            <w:hyperlink w:anchor="ex31-2.htm">
              <w:r>
                <w:rPr>
                  <w:rStyle w:val="InternetLink"/>
                  <w:color w:val="000080"/>
                </w:rPr>
                <w:t>31.2</w:t>
              </w:r>
            </w:hyperlink>
            <w:r>
              <w:rPr>
                <w:color w:val="000000"/>
              </w:rPr>
              <w:t>*</w:t>
            </w:r>
            <w:r>
              <w:rPr/>
              <w:t xml:space="preserve"> </w:t>
            </w:r>
          </w:p>
        </w:tc>
        <w:tc>
          <w:tcPr>
            <w:tcW w:w="7441" w:type="dxa"/>
            <w:tcBorders/>
            <w:tcMar>
              <w:top w:w="0" w:type="dxa"/>
              <w:left w:w="0" w:type="dxa"/>
              <w:bottom w:w="0" w:type="dxa"/>
              <w:right w:w="0" w:type="dxa"/>
            </w:tcMar>
            <w:vAlign w:val="center"/>
          </w:tcPr>
          <w:p>
            <w:pPr>
              <w:pStyle w:val="TableContents"/>
              <w:bidi w:val="0"/>
              <w:spacing w:before="65" w:after="20"/>
              <w:jc w:val="left"/>
              <w:rPr>
                <w:color w:val="000000"/>
              </w:rPr>
            </w:pPr>
            <w:r>
              <w:rPr>
                <w:color w:val="000000"/>
              </w:rPr>
              <w:t>Rule 13a-14(a)/15d-14(a) Certification of the Chief Financial Officer.</w:t>
            </w:r>
          </w:p>
        </w:tc>
        <w:tc>
          <w:tcPr>
            <w:tcW w:w="1958" w:type="dxa"/>
            <w:tcBorders/>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65" w:after="20"/>
              <w:jc w:val="left"/>
              <w:rPr/>
            </w:pPr>
            <w:hyperlink w:anchor="ex32-1.htm">
              <w:r>
                <w:rPr>
                  <w:rStyle w:val="InternetLink"/>
                  <w:color w:val="000080"/>
                </w:rPr>
                <w:t>32.1</w:t>
              </w:r>
            </w:hyperlink>
            <w:r>
              <w:rPr>
                <w:color w:val="000000"/>
              </w:rPr>
              <w:t>**</w:t>
            </w:r>
            <w:r>
              <w:rPr/>
              <w:t xml:space="preserve"> </w:t>
            </w:r>
          </w:p>
        </w:tc>
        <w:tc>
          <w:tcPr>
            <w:tcW w:w="7441" w:type="dxa"/>
            <w:tcBorders/>
            <w:tcMar>
              <w:top w:w="0" w:type="dxa"/>
              <w:left w:w="0" w:type="dxa"/>
              <w:bottom w:w="0" w:type="dxa"/>
              <w:right w:w="0" w:type="dxa"/>
            </w:tcMar>
            <w:vAlign w:val="center"/>
          </w:tcPr>
          <w:p>
            <w:pPr>
              <w:pStyle w:val="TableContents"/>
              <w:bidi w:val="0"/>
              <w:spacing w:before="65" w:after="20"/>
              <w:jc w:val="left"/>
              <w:rPr/>
            </w:pPr>
            <w:r>
              <w:rPr>
                <w:color w:val="000000"/>
              </w:rPr>
              <w:t>Section 1350 Certification of the Chief Executive Officer.</w:t>
            </w:r>
            <w:r>
              <w:rPr/>
              <w:t xml:space="preserve"> </w:t>
            </w:r>
          </w:p>
        </w:tc>
        <w:tc>
          <w:tcPr>
            <w:tcW w:w="1958" w:type="dxa"/>
            <w:tcBorders/>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65" w:after="20"/>
              <w:jc w:val="left"/>
              <w:rPr/>
            </w:pPr>
            <w:hyperlink w:anchor="ex32-2.htm">
              <w:r>
                <w:rPr>
                  <w:rStyle w:val="InternetLink"/>
                  <w:color w:val="000080"/>
                </w:rPr>
                <w:t>32.2</w:t>
              </w:r>
            </w:hyperlink>
            <w:r>
              <w:rPr>
                <w:color w:val="000000"/>
              </w:rPr>
              <w:t>**</w:t>
            </w:r>
            <w:r>
              <w:rPr/>
              <w:t xml:space="preserve"> </w:t>
            </w:r>
          </w:p>
        </w:tc>
        <w:tc>
          <w:tcPr>
            <w:tcW w:w="7441" w:type="dxa"/>
            <w:tcBorders/>
            <w:tcMar>
              <w:top w:w="0" w:type="dxa"/>
              <w:left w:w="0" w:type="dxa"/>
              <w:bottom w:w="0" w:type="dxa"/>
              <w:right w:w="0" w:type="dxa"/>
            </w:tcMar>
            <w:vAlign w:val="center"/>
          </w:tcPr>
          <w:p>
            <w:pPr>
              <w:pStyle w:val="TableContents"/>
              <w:bidi w:val="0"/>
              <w:spacing w:before="65" w:after="20"/>
              <w:jc w:val="left"/>
              <w:rPr/>
            </w:pPr>
            <w:r>
              <w:rPr>
                <w:color w:val="000000"/>
              </w:rPr>
              <w:t>Section 1350 Certification of the Chief Financial Officer.</w:t>
            </w:r>
            <w:r>
              <w:rPr/>
              <w:t xml:space="preserve"> </w:t>
            </w:r>
          </w:p>
        </w:tc>
        <w:tc>
          <w:tcPr>
            <w:tcW w:w="1958" w:type="dxa"/>
            <w:tcBorders/>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65" w:after="20"/>
              <w:jc w:val="left"/>
              <w:rPr/>
            </w:pPr>
            <w:r>
              <w:rPr>
                <w:color w:val="000000"/>
              </w:rPr>
              <w:t>101.INS</w:t>
            </w:r>
            <w:r>
              <w:rPr/>
              <w:t xml:space="preserve"> </w:t>
            </w:r>
          </w:p>
        </w:tc>
        <w:tc>
          <w:tcPr>
            <w:tcW w:w="7441" w:type="dxa"/>
            <w:tcBorders/>
            <w:tcMar>
              <w:top w:w="0" w:type="dxa"/>
              <w:left w:w="0" w:type="dxa"/>
              <w:bottom w:w="0" w:type="dxa"/>
              <w:right w:w="0" w:type="dxa"/>
            </w:tcMar>
            <w:vAlign w:val="center"/>
          </w:tcPr>
          <w:p>
            <w:pPr>
              <w:pStyle w:val="TableContents"/>
              <w:bidi w:val="0"/>
              <w:spacing w:before="65" w:after="20"/>
              <w:jc w:val="left"/>
              <w:rPr/>
            </w:pPr>
            <w:r>
              <w:rPr>
                <w:color w:val="000000"/>
              </w:rPr>
              <w:t>Inline XBRL Instance Document – the instance document does not appear in the Interactive Data file because its iXBRL tags are embedded within the Inline XBRL document.</w:t>
            </w:r>
            <w:r>
              <w:rPr/>
              <w:t xml:space="preserve"> </w:t>
            </w:r>
          </w:p>
        </w:tc>
        <w:tc>
          <w:tcPr>
            <w:tcW w:w="1958" w:type="dxa"/>
            <w:tcBorders/>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65" w:after="20"/>
              <w:jc w:val="left"/>
              <w:rPr/>
            </w:pPr>
            <w:r>
              <w:rPr>
                <w:color w:val="000000"/>
              </w:rPr>
              <w:t>101.SCH</w:t>
            </w:r>
            <w:r>
              <w:rPr/>
              <w:t xml:space="preserve"> </w:t>
            </w:r>
          </w:p>
        </w:tc>
        <w:tc>
          <w:tcPr>
            <w:tcW w:w="7441" w:type="dxa"/>
            <w:tcBorders/>
            <w:tcMar>
              <w:top w:w="0" w:type="dxa"/>
              <w:left w:w="0" w:type="dxa"/>
              <w:bottom w:w="0" w:type="dxa"/>
              <w:right w:w="0" w:type="dxa"/>
            </w:tcMar>
            <w:vAlign w:val="center"/>
          </w:tcPr>
          <w:p>
            <w:pPr>
              <w:pStyle w:val="TableContents"/>
              <w:bidi w:val="0"/>
              <w:spacing w:before="65" w:after="20"/>
              <w:jc w:val="left"/>
              <w:rPr/>
            </w:pPr>
            <w:r>
              <w:rPr>
                <w:color w:val="000000"/>
              </w:rPr>
              <w:t>Inline XBRL Taxonomy Extension Schema.</w:t>
            </w:r>
            <w:r>
              <w:rPr/>
              <w:t xml:space="preserve"> </w:t>
            </w:r>
          </w:p>
        </w:tc>
        <w:tc>
          <w:tcPr>
            <w:tcW w:w="1958" w:type="dxa"/>
            <w:tcBorders/>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65" w:after="20"/>
              <w:jc w:val="left"/>
              <w:rPr/>
            </w:pPr>
            <w:r>
              <w:rPr>
                <w:color w:val="000000"/>
              </w:rPr>
              <w:t>101.CAL</w:t>
            </w:r>
            <w:r>
              <w:rPr/>
              <w:t xml:space="preserve"> </w:t>
            </w:r>
          </w:p>
        </w:tc>
        <w:tc>
          <w:tcPr>
            <w:tcW w:w="7441" w:type="dxa"/>
            <w:tcBorders/>
            <w:tcMar>
              <w:top w:w="0" w:type="dxa"/>
              <w:left w:w="0" w:type="dxa"/>
              <w:bottom w:w="0" w:type="dxa"/>
              <w:right w:w="0" w:type="dxa"/>
            </w:tcMar>
            <w:vAlign w:val="center"/>
          </w:tcPr>
          <w:p>
            <w:pPr>
              <w:pStyle w:val="TableContents"/>
              <w:bidi w:val="0"/>
              <w:spacing w:before="65" w:after="20"/>
              <w:jc w:val="left"/>
              <w:rPr/>
            </w:pPr>
            <w:r>
              <w:rPr>
                <w:color w:val="000000"/>
              </w:rPr>
              <w:t>Inline XBRL Extension Calculation Linkbase.</w:t>
            </w:r>
            <w:r>
              <w:rPr/>
              <w:t xml:space="preserve"> </w:t>
            </w:r>
          </w:p>
        </w:tc>
        <w:tc>
          <w:tcPr>
            <w:tcW w:w="1958" w:type="dxa"/>
            <w:tcBorders/>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65" w:after="20"/>
              <w:jc w:val="left"/>
              <w:rPr/>
            </w:pPr>
            <w:r>
              <w:rPr>
                <w:color w:val="000000"/>
              </w:rPr>
              <w:t>101.DEF</w:t>
            </w:r>
            <w:r>
              <w:rPr/>
              <w:t xml:space="preserve"> </w:t>
            </w:r>
          </w:p>
        </w:tc>
        <w:tc>
          <w:tcPr>
            <w:tcW w:w="7441" w:type="dxa"/>
            <w:tcBorders/>
            <w:tcMar>
              <w:top w:w="0" w:type="dxa"/>
              <w:left w:w="0" w:type="dxa"/>
              <w:bottom w:w="0" w:type="dxa"/>
              <w:right w:w="0" w:type="dxa"/>
            </w:tcMar>
            <w:vAlign w:val="center"/>
          </w:tcPr>
          <w:p>
            <w:pPr>
              <w:pStyle w:val="TableContents"/>
              <w:bidi w:val="0"/>
              <w:spacing w:before="65" w:after="20"/>
              <w:jc w:val="left"/>
              <w:rPr/>
            </w:pPr>
            <w:r>
              <w:rPr>
                <w:color w:val="000000"/>
              </w:rPr>
              <w:t>Inline XBRL Extension Definition Linkbase.</w:t>
            </w:r>
            <w:r>
              <w:rPr/>
              <w:t xml:space="preserve"> </w:t>
            </w:r>
          </w:p>
        </w:tc>
        <w:tc>
          <w:tcPr>
            <w:tcW w:w="1958" w:type="dxa"/>
            <w:tcBorders/>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65" w:after="20"/>
              <w:jc w:val="left"/>
              <w:rPr/>
            </w:pPr>
            <w:r>
              <w:rPr>
                <w:color w:val="000000"/>
              </w:rPr>
              <w:t>101.LAB</w:t>
            </w:r>
            <w:r>
              <w:rPr/>
              <w:t xml:space="preserve"> </w:t>
            </w:r>
          </w:p>
        </w:tc>
        <w:tc>
          <w:tcPr>
            <w:tcW w:w="7441" w:type="dxa"/>
            <w:tcBorders/>
            <w:tcMar>
              <w:top w:w="0" w:type="dxa"/>
              <w:left w:w="0" w:type="dxa"/>
              <w:bottom w:w="0" w:type="dxa"/>
              <w:right w:w="0" w:type="dxa"/>
            </w:tcMar>
            <w:vAlign w:val="center"/>
          </w:tcPr>
          <w:p>
            <w:pPr>
              <w:pStyle w:val="TableContents"/>
              <w:bidi w:val="0"/>
              <w:spacing w:before="65" w:after="20"/>
              <w:jc w:val="left"/>
              <w:rPr/>
            </w:pPr>
            <w:r>
              <w:rPr>
                <w:color w:val="000000"/>
              </w:rPr>
              <w:t>Inline XBRL Extension Label Linkbase.</w:t>
            </w:r>
            <w:r>
              <w:rPr/>
              <w:t xml:space="preserve"> </w:t>
            </w:r>
          </w:p>
        </w:tc>
        <w:tc>
          <w:tcPr>
            <w:tcW w:w="1958" w:type="dxa"/>
            <w:tcBorders/>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65" w:after="20"/>
              <w:jc w:val="left"/>
              <w:rPr/>
            </w:pPr>
            <w:r>
              <w:rPr>
                <w:color w:val="000000"/>
              </w:rPr>
              <w:t>101.PRE</w:t>
            </w:r>
            <w:r>
              <w:rPr/>
              <w:t xml:space="preserve"> </w:t>
            </w:r>
          </w:p>
        </w:tc>
        <w:tc>
          <w:tcPr>
            <w:tcW w:w="7441" w:type="dxa"/>
            <w:tcBorders/>
            <w:tcMar>
              <w:top w:w="0" w:type="dxa"/>
              <w:left w:w="0" w:type="dxa"/>
              <w:bottom w:w="0" w:type="dxa"/>
              <w:right w:w="0" w:type="dxa"/>
            </w:tcMar>
            <w:vAlign w:val="center"/>
          </w:tcPr>
          <w:p>
            <w:pPr>
              <w:pStyle w:val="TableContents"/>
              <w:bidi w:val="0"/>
              <w:spacing w:before="65" w:after="20"/>
              <w:jc w:val="left"/>
              <w:rPr/>
            </w:pPr>
            <w:r>
              <w:rPr>
                <w:color w:val="000000"/>
              </w:rPr>
              <w:t>Inline XBRL Extension Presentation Linkbase.</w:t>
            </w:r>
            <w:r>
              <w:rPr/>
              <w:t xml:space="preserve"> </w:t>
            </w:r>
          </w:p>
        </w:tc>
        <w:tc>
          <w:tcPr>
            <w:tcW w:w="1958" w:type="dxa"/>
            <w:tcBorders/>
            <w:vAlign w:val="center"/>
          </w:tcPr>
          <w:p>
            <w:pPr>
              <w:pStyle w:val="TableContents"/>
              <w:bidi w:val="0"/>
              <w:spacing w:before="0" w:after="283"/>
              <w:jc w:val="left"/>
              <w:rPr/>
            </w:pPr>
            <w:r>
              <w:rPr/>
              <w:t> </w:t>
            </w:r>
          </w:p>
        </w:tc>
      </w:tr>
      <w:tr>
        <w:trPr/>
        <w:tc>
          <w:tcPr>
            <w:tcW w:w="806" w:type="dxa"/>
            <w:tcBorders/>
            <w:tcMar>
              <w:top w:w="0" w:type="dxa"/>
              <w:left w:w="0" w:type="dxa"/>
              <w:bottom w:w="0" w:type="dxa"/>
              <w:right w:w="0" w:type="dxa"/>
            </w:tcMar>
            <w:vAlign w:val="center"/>
          </w:tcPr>
          <w:p>
            <w:pPr>
              <w:pStyle w:val="TableContents"/>
              <w:bidi w:val="0"/>
              <w:spacing w:before="65" w:after="20"/>
              <w:jc w:val="left"/>
              <w:rPr/>
            </w:pPr>
            <w:r>
              <w:rPr>
                <w:color w:val="000000"/>
              </w:rPr>
              <w:t>104</w:t>
            </w:r>
            <w:r>
              <w:rPr/>
              <w:t xml:space="preserve"> </w:t>
            </w:r>
          </w:p>
        </w:tc>
        <w:tc>
          <w:tcPr>
            <w:tcW w:w="7441" w:type="dxa"/>
            <w:tcBorders/>
            <w:tcMar>
              <w:top w:w="0" w:type="dxa"/>
              <w:left w:w="0" w:type="dxa"/>
              <w:bottom w:w="0" w:type="dxa"/>
              <w:right w:w="0" w:type="dxa"/>
            </w:tcMar>
            <w:vAlign w:val="center"/>
          </w:tcPr>
          <w:p>
            <w:pPr>
              <w:pStyle w:val="TableContents"/>
              <w:bidi w:val="0"/>
              <w:spacing w:before="65" w:after="20"/>
              <w:jc w:val="left"/>
              <w:rPr/>
            </w:pPr>
            <w:r>
              <w:rPr>
                <w:color w:val="000000"/>
              </w:rPr>
              <w:t>Cover Page Interactive Data File (formatted as an inline XBRL and contained in Exhibit 101).</w:t>
            </w:r>
            <w:r>
              <w:rPr/>
              <w:t xml:space="preserve"> </w:t>
            </w:r>
          </w:p>
        </w:tc>
        <w:tc>
          <w:tcPr>
            <w:tcW w:w="1958" w:type="dxa"/>
            <w:tcBorders/>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xml:space="preserve">  </w:t>
      </w:r>
    </w:p>
    <w:p>
      <w:pPr>
        <w:pStyle w:val="TextBody"/>
        <w:bidi w:val="0"/>
        <w:spacing w:lineRule="auto" w:line="324" w:before="0" w:after="0"/>
        <w:jc w:val="left"/>
        <w:rPr>
          <w:rFonts w:ascii="Times New Roman" w:hAnsi="Times New Roman"/>
          <w:sz w:val="18"/>
        </w:rPr>
      </w:pPr>
      <w:r>
        <w:rPr>
          <w:rFonts w:ascii="Times New Roman" w:hAnsi="Times New Roman"/>
          <w:sz w:val="18"/>
        </w:rPr>
        <w:t xml:space="preserve">*   Filed herewith </w:t>
      </w:r>
    </w:p>
    <w:p>
      <w:pPr>
        <w:pStyle w:val="TextBody"/>
        <w:bidi w:val="0"/>
        <w:spacing w:lineRule="auto" w:line="324" w:before="0" w:after="0"/>
        <w:jc w:val="left"/>
        <w:rPr>
          <w:rFonts w:ascii="Times New Roman" w:hAnsi="Times New Roman"/>
          <w:sz w:val="18"/>
        </w:rPr>
      </w:pPr>
      <w:r>
        <w:rPr>
          <w:rFonts w:ascii="Times New Roman" w:hAnsi="Times New Roman"/>
          <w:sz w:val="18"/>
        </w:rPr>
        <w:t xml:space="preserve">** Furnished herewith </w:t>
      </w:r>
    </w:p>
    <w:p>
      <w:pPr>
        <w:pStyle w:val="TextBody"/>
        <w:bidi w:val="0"/>
        <w:spacing w:lineRule="auto" w:line="32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21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sz w:val="18"/>
        </w:rPr>
      </w:pPr>
      <w:bookmarkStart w:id="16" w:name="Section33"/>
      <w:bookmarkEnd w:id="16"/>
      <w:r>
        <w:rPr>
          <w:rFonts w:ascii="Times New Roman" w:hAnsi="Times New Roman"/>
          <w:b/>
          <w:sz w:val="18"/>
        </w:rPr>
        <w:t>SIGNATURE</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xml:space="preserve">  </w:t>
      </w:r>
    </w:p>
    <w:tbl>
      <w:tblPr>
        <w:tblW w:w="3509" w:type="dxa"/>
        <w:jc w:val="left"/>
        <w:tblInd w:w="0" w:type="dxa"/>
        <w:tblLayout w:type="fixed"/>
        <w:tblCellMar>
          <w:top w:w="28" w:type="dxa"/>
          <w:left w:w="28" w:type="dxa"/>
          <w:bottom w:w="28" w:type="dxa"/>
          <w:right w:w="28" w:type="dxa"/>
        </w:tblCellMar>
      </w:tblPr>
      <w:tblGrid>
        <w:gridCol w:w="1036"/>
        <w:gridCol w:w="421"/>
        <w:gridCol w:w="206"/>
        <w:gridCol w:w="1846"/>
      </w:tblGrid>
      <w:tr>
        <w:trPr/>
        <w:tc>
          <w:tcPr>
            <w:tcW w:w="1036"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r>
      <w:tr>
        <w:trPr/>
        <w:tc>
          <w:tcPr>
            <w:tcW w:w="1036"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c>
          <w:tcPr>
            <w:tcW w:w="2473" w:type="dxa"/>
            <w:gridSpan w:val="3"/>
            <w:tcBorders/>
            <w:tcMar>
              <w:top w:w="0" w:type="dxa"/>
              <w:left w:w="0" w:type="dxa"/>
              <w:bottom w:w="0" w:type="dxa"/>
              <w:right w:w="0" w:type="dxa"/>
            </w:tcMar>
            <w:vAlign w:val="center"/>
          </w:tcPr>
          <w:p>
            <w:pPr>
              <w:pStyle w:val="TableContents"/>
              <w:bidi w:val="0"/>
              <w:spacing w:lineRule="auto" w:line="324" w:before="65" w:after="20"/>
              <w:jc w:val="left"/>
              <w:rPr>
                <w:b/>
                <w:sz w:val="18"/>
              </w:rPr>
            </w:pPr>
            <w:r>
              <w:rPr>
                <w:b/>
                <w:sz w:val="18"/>
              </w:rPr>
              <w:t>Magnera Corporation</w:t>
            </w:r>
          </w:p>
        </w:tc>
      </w:tr>
      <w:tr>
        <w:trPr/>
        <w:tc>
          <w:tcPr>
            <w:tcW w:w="1036" w:type="dxa"/>
            <w:tcBorders/>
            <w:vAlign w:val="center"/>
          </w:tcPr>
          <w:p>
            <w:pPr>
              <w:pStyle w:val="TableContents"/>
              <w:bidi w:val="0"/>
              <w:spacing w:before="0" w:after="0"/>
              <w:jc w:val="left"/>
              <w:rPr/>
            </w:pPr>
            <w:r>
              <w:rPr/>
              <w:t xml:space="preserve">  </w:t>
            </w:r>
          </w:p>
        </w:tc>
        <w:tc>
          <w:tcPr>
            <w:tcW w:w="421"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c>
          <w:tcPr>
            <w:tcW w:w="206" w:type="dxa"/>
            <w:tcBorders/>
            <w:vAlign w:val="center"/>
          </w:tcPr>
          <w:p>
            <w:pPr>
              <w:pStyle w:val="TableContents"/>
              <w:bidi w:val="0"/>
              <w:spacing w:before="0" w:after="0"/>
              <w:jc w:val="left"/>
              <w:rPr/>
            </w:pPr>
            <w:r>
              <w:rPr/>
              <w:t xml:space="preserve">  </w:t>
            </w:r>
          </w:p>
        </w:tc>
        <w:tc>
          <w:tcPr>
            <w:tcW w:w="1846"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r>
      <w:tr>
        <w:trPr/>
        <w:tc>
          <w:tcPr>
            <w:tcW w:w="1036" w:type="dxa"/>
            <w:tcBorders/>
            <w:tcMar>
              <w:top w:w="0" w:type="dxa"/>
              <w:left w:w="0" w:type="dxa"/>
              <w:bottom w:w="0" w:type="dxa"/>
              <w:right w:w="0" w:type="dxa"/>
            </w:tcMar>
            <w:vAlign w:val="center"/>
          </w:tcPr>
          <w:p>
            <w:pPr>
              <w:pStyle w:val="TableContents"/>
              <w:bidi w:val="0"/>
              <w:spacing w:before="0" w:after="283"/>
              <w:jc w:val="left"/>
              <w:rPr>
                <w:sz w:val="18"/>
              </w:rPr>
            </w:pPr>
            <w:r>
              <w:rPr>
                <w:sz w:val="18"/>
              </w:rPr>
              <w:t>May 7, 2026</w:t>
            </w:r>
          </w:p>
        </w:tc>
        <w:tc>
          <w:tcPr>
            <w:tcW w:w="421" w:type="dxa"/>
            <w:tcBorders/>
            <w:tcMar>
              <w:top w:w="0" w:type="dxa"/>
              <w:left w:w="0" w:type="dxa"/>
              <w:bottom w:w="0" w:type="dxa"/>
              <w:right w:w="0" w:type="dxa"/>
            </w:tcMar>
            <w:vAlign w:val="center"/>
          </w:tcPr>
          <w:p>
            <w:pPr>
              <w:pStyle w:val="TableContents"/>
              <w:bidi w:val="0"/>
              <w:spacing w:lineRule="auto" w:line="321" w:before="65" w:after="20"/>
              <w:jc w:val="left"/>
              <w:rPr/>
            </w:pPr>
            <w:r>
              <w:rPr>
                <w:sz w:val="18"/>
              </w:rPr>
              <w:t>By:</w:t>
            </w:r>
            <w:r>
              <w:rPr/>
              <w:t xml:space="preserve"> </w:t>
            </w:r>
          </w:p>
        </w:tc>
        <w:tc>
          <w:tcPr>
            <w:tcW w:w="206" w:type="dxa"/>
            <w:tcBorders/>
            <w:vAlign w:val="center"/>
          </w:tcPr>
          <w:p>
            <w:pPr>
              <w:pStyle w:val="TableContents"/>
              <w:bidi w:val="0"/>
              <w:spacing w:before="0" w:after="0"/>
              <w:jc w:val="left"/>
              <w:rPr/>
            </w:pPr>
            <w:r>
              <w:rPr/>
              <w:t xml:space="preserve">  </w:t>
            </w:r>
          </w:p>
        </w:tc>
        <w:tc>
          <w:tcPr>
            <w:tcW w:w="1846" w:type="dxa"/>
            <w:tcBorders>
              <w:bottom w:val="single" w:sz="8" w:space="0" w:color="000000"/>
            </w:tcBorders>
            <w:tcMar>
              <w:top w:w="0" w:type="dxa"/>
              <w:left w:w="0" w:type="dxa"/>
              <w:right w:w="0" w:type="dxa"/>
            </w:tcMar>
            <w:vAlign w:val="center"/>
          </w:tcPr>
          <w:p>
            <w:pPr>
              <w:pStyle w:val="TableContents"/>
              <w:bidi w:val="0"/>
              <w:spacing w:lineRule="auto" w:line="321" w:before="65" w:after="20"/>
              <w:jc w:val="left"/>
              <w:rPr/>
            </w:pPr>
            <w:r>
              <w:rPr>
                <w:sz w:val="18"/>
              </w:rPr>
              <w:t>/s/ James M. Till</w:t>
            </w:r>
            <w:r>
              <w:rPr/>
              <w:t xml:space="preserve"> </w:t>
            </w:r>
          </w:p>
        </w:tc>
      </w:tr>
      <w:tr>
        <w:trPr/>
        <w:tc>
          <w:tcPr>
            <w:tcW w:w="1036" w:type="dxa"/>
            <w:tcBorders/>
            <w:tcMar>
              <w:top w:w="0" w:type="dxa"/>
              <w:left w:w="0" w:type="dxa"/>
              <w:bottom w:w="0" w:type="dxa"/>
              <w:right w:w="0" w:type="dxa"/>
            </w:tcMar>
            <w:vAlign w:val="center"/>
          </w:tcPr>
          <w:p>
            <w:pPr>
              <w:pStyle w:val="TableContents"/>
              <w:bidi w:val="0"/>
              <w:spacing w:lineRule="auto" w:line="321" w:before="50" w:after="20"/>
              <w:jc w:val="left"/>
              <w:rPr/>
            </w:pPr>
            <w:r>
              <w:rPr>
                <w:color w:val="000000"/>
              </w:rPr>
              <w:t> </w:t>
            </w:r>
            <w:r>
              <w:rPr/>
              <w:t xml:space="preserve"> </w:t>
            </w:r>
          </w:p>
        </w:tc>
        <w:tc>
          <w:tcPr>
            <w:tcW w:w="421" w:type="dxa"/>
            <w:tcBorders/>
            <w:tcMar>
              <w:top w:w="0" w:type="dxa"/>
              <w:left w:w="0" w:type="dxa"/>
              <w:bottom w:w="0" w:type="dxa"/>
              <w:right w:w="0" w:type="dxa"/>
            </w:tcMar>
            <w:vAlign w:val="center"/>
          </w:tcPr>
          <w:p>
            <w:pPr>
              <w:pStyle w:val="TableContents"/>
              <w:bidi w:val="0"/>
              <w:spacing w:lineRule="auto" w:line="321" w:before="50" w:after="20"/>
              <w:jc w:val="left"/>
              <w:rPr/>
            </w:pPr>
            <w:r>
              <w:rPr>
                <w:color w:val="000000"/>
              </w:rPr>
              <w:t> </w:t>
            </w:r>
            <w:r>
              <w:rPr/>
              <w:t xml:space="preserve"> </w:t>
            </w:r>
          </w:p>
        </w:tc>
        <w:tc>
          <w:tcPr>
            <w:tcW w:w="206" w:type="dxa"/>
            <w:tcBorders/>
            <w:vAlign w:val="center"/>
          </w:tcPr>
          <w:p>
            <w:pPr>
              <w:pStyle w:val="TableContents"/>
              <w:bidi w:val="0"/>
              <w:spacing w:before="0" w:after="0"/>
              <w:jc w:val="left"/>
              <w:rPr/>
            </w:pPr>
            <w:r>
              <w:rPr/>
              <w:t xml:space="preserve">  </w:t>
            </w:r>
          </w:p>
        </w:tc>
        <w:tc>
          <w:tcPr>
            <w:tcW w:w="1846" w:type="dxa"/>
            <w:tcBorders>
              <w:top w:val="single" w:sz="8" w:space="0" w:color="000000"/>
            </w:tcBorders>
            <w:tcMar>
              <w:left w:w="0" w:type="dxa"/>
              <w:bottom w:w="0" w:type="dxa"/>
              <w:right w:w="0" w:type="dxa"/>
            </w:tcMar>
            <w:vAlign w:val="center"/>
          </w:tcPr>
          <w:p>
            <w:pPr>
              <w:pStyle w:val="TableContents"/>
              <w:bidi w:val="0"/>
              <w:spacing w:lineRule="auto" w:line="321" w:before="50" w:after="20"/>
              <w:jc w:val="left"/>
              <w:rPr/>
            </w:pPr>
            <w:r>
              <w:rPr>
                <w:sz w:val="18"/>
              </w:rPr>
              <w:t>James M. Till</w:t>
            </w:r>
            <w:r>
              <w:rPr/>
              <w:t xml:space="preserve"> </w:t>
            </w:r>
          </w:p>
        </w:tc>
      </w:tr>
      <w:tr>
        <w:trPr/>
        <w:tc>
          <w:tcPr>
            <w:tcW w:w="1036"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c>
          <w:tcPr>
            <w:tcW w:w="421"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c>
          <w:tcPr>
            <w:tcW w:w="206" w:type="dxa"/>
            <w:tcBorders/>
            <w:vAlign w:val="center"/>
          </w:tcPr>
          <w:p>
            <w:pPr>
              <w:pStyle w:val="TableContents"/>
              <w:bidi w:val="0"/>
              <w:spacing w:before="0" w:after="0"/>
              <w:jc w:val="left"/>
              <w:rPr/>
            </w:pPr>
            <w:r>
              <w:rPr/>
              <w:t xml:space="preserve">  </w:t>
            </w:r>
          </w:p>
        </w:tc>
        <w:tc>
          <w:tcPr>
            <w:tcW w:w="1846" w:type="dxa"/>
            <w:tcBorders/>
            <w:tcMar>
              <w:top w:w="0" w:type="dxa"/>
              <w:left w:w="0" w:type="dxa"/>
              <w:bottom w:w="0" w:type="dxa"/>
              <w:right w:w="0" w:type="dxa"/>
            </w:tcMar>
            <w:vAlign w:val="center"/>
          </w:tcPr>
          <w:p>
            <w:pPr>
              <w:pStyle w:val="TableContents"/>
              <w:bidi w:val="0"/>
              <w:spacing w:lineRule="auto" w:line="324" w:before="65" w:after="20"/>
              <w:ind w:left="0" w:right="0" w:hanging="527"/>
              <w:jc w:val="left"/>
              <w:rPr/>
            </w:pPr>
            <w:r>
              <w:rPr>
                <w:sz w:val="18"/>
              </w:rPr>
              <w:t>Chief Financial Officer</w:t>
            </w:r>
            <w:r>
              <w:rPr/>
              <w:t xml:space="preserve"> </w:t>
            </w:r>
          </w:p>
        </w:tc>
      </w:tr>
    </w:tbl>
    <w:p>
      <w:pPr>
        <w:pStyle w:val="TextBody"/>
        <w:bidi w:val="0"/>
        <w:spacing w:before="0" w:after="0"/>
        <w:jc w:val="left"/>
        <w:rPr/>
      </w:pPr>
      <w:r>
        <w:rPr/>
        <w:t> </w:t>
      </w:r>
    </w:p>
    <w:p>
      <w:pPr>
        <w:pStyle w:val="TextBody"/>
        <w:bidi w:val="0"/>
        <w:spacing w:lineRule="auto" w:line="32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22</w:t>
      </w:r>
    </w:p>
    <w:p>
      <w:pPr>
        <w:pStyle w:val="HorizontalLine"/>
        <w:bidi w:val="0"/>
        <w:spacing w:before="0" w:after="0"/>
        <w:jc w:val="left"/>
        <w:rPr/>
      </w:pPr>
      <w:r>
        <w:rPr/>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right"/>
        <w:rPr>
          <w:rFonts w:ascii="Times New Roman" w:hAnsi="Times New Roman"/>
          <w:b/>
          <w:spacing w:val="0"/>
          <w:sz w:val="20"/>
        </w:rPr>
      </w:pPr>
      <w:bookmarkStart w:id="17" w:name="ex10-1.htm"/>
      <w:bookmarkStart w:id="18" w:name="ksex101"/>
      <w:bookmarkEnd w:id="17"/>
      <w:bookmarkEnd w:id="18"/>
      <w:r>
        <w:rPr>
          <w:rFonts w:ascii="Times New Roman" w:hAnsi="Times New Roman"/>
          <w:b/>
          <w:spacing w:val="0"/>
          <w:sz w:val="20"/>
        </w:rPr>
        <w:t>EXHIBIT 10.1</w:t>
      </w:r>
      <w:r>
        <w:br w:type="page"/>
      </w:r>
    </w:p>
    <w:p>
      <w:pPr>
        <w:pStyle w:val="TextBody"/>
        <w:bidi w:val="0"/>
        <w:spacing w:before="0" w:after="0"/>
        <w:jc w:val="right"/>
        <w:rPr/>
      </w:pPr>
      <w:r>
        <w:rPr/>
        <w:t> </w:t>
      </w:r>
    </w:p>
    <w:p>
      <w:pPr>
        <w:pStyle w:val="TextBody"/>
        <w:bidi w:val="0"/>
        <w:spacing w:before="0" w:after="0"/>
        <w:jc w:val="right"/>
        <w:rPr/>
      </w:pPr>
      <w:r>
        <w:rPr/>
        <w:drawing>
          <wp:inline distT="0" distB="0" distL="0" distR="0">
            <wp:extent cx="1913890" cy="4940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13890" cy="494030"/>
                    </a:xfrm>
                    <a:prstGeom prst="rect">
                      <a:avLst/>
                    </a:prstGeom>
                  </pic:spPr>
                </pic:pic>
              </a:graphicData>
            </a:graphic>
          </wp:inline>
        </w:drawing>
      </w:r>
      <w:r>
        <w:rPr/>
        <w:t xml:space="preserve"> </w:t>
      </w:r>
    </w:p>
    <w:p>
      <w:pPr>
        <w:pStyle w:val="TextBody"/>
        <w:bidi w:val="0"/>
        <w:spacing w:before="0" w:after="0"/>
        <w:jc w:val="left"/>
        <w:rPr/>
      </w:pPr>
      <w:r>
        <w:rPr/>
        <w:t xml:space="preserve">  </w:t>
      </w:r>
    </w:p>
    <w:p>
      <w:pPr>
        <w:pStyle w:val="TextBody"/>
        <w:bidi w:val="0"/>
        <w:spacing w:before="0" w:after="0"/>
        <w:jc w:val="center"/>
        <w:rPr/>
      </w:pPr>
      <w:r>
        <w:rPr/>
        <w:t> </w:t>
      </w:r>
    </w:p>
    <w:p>
      <w:pPr>
        <w:pStyle w:val="TextBody"/>
        <w:bidi w:val="0"/>
        <w:spacing w:before="0" w:after="0"/>
        <w:ind w:left="0" w:right="0" w:hanging="0"/>
        <w:jc w:val="left"/>
        <w:rPr>
          <w:rFonts w:ascii="Tenorite" w:hAnsi="Tenorite"/>
        </w:rPr>
      </w:pPr>
      <w:r>
        <w:rPr>
          <w:rFonts w:ascii="Tenorite" w:hAnsi="Tenorite"/>
        </w:rPr>
        <w:t>February 2,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enorite" w:hAnsi="Tenorite"/>
        </w:rPr>
      </w:pPr>
      <w:r>
        <w:rPr>
          <w:rFonts w:ascii="Tenorite" w:hAnsi="Tenorite"/>
        </w:rPr>
        <w:t>To: Erin Maile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enorite" w:hAnsi="Tenorite"/>
        </w:rPr>
      </w:pPr>
      <w:r>
        <w:rPr>
          <w:rFonts w:ascii="Tenorite" w:hAnsi="Tenorite"/>
        </w:rPr>
        <w:t>Dear Erin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enorite" w:hAnsi="Tenorite"/>
        </w:rPr>
      </w:pPr>
      <w:r>
        <w:rPr>
          <w:rFonts w:ascii="Tenorite" w:hAnsi="Tenorite"/>
        </w:rPr>
        <w:t xml:space="preserve">Below are the terms related to your promotion as you assume the role of </w:t>
      </w:r>
      <w:r>
        <w:rPr>
          <w:rFonts w:ascii="Tenorite" w:hAnsi="Tenorite"/>
          <w:u w:val="single"/>
        </w:rPr>
        <w:t>Executive Vice President, Chief Accounting Officer</w:t>
      </w:r>
      <w:r>
        <w:rPr>
          <w:rFonts w:ascii="Tenorite" w:hAnsi="Tenorite"/>
        </w:rPr>
        <w:t xml:space="preserve">, effective February 2, 2026, reporting to Jim Till, Chief Financial Officer.  Congratulations!  </w:t>
      </w:r>
    </w:p>
    <w:p>
      <w:pPr>
        <w:pStyle w:val="TextBody"/>
        <w:bidi w:val="0"/>
        <w:spacing w:before="0" w:after="0"/>
        <w:ind w:left="0" w:right="0" w:hanging="0"/>
        <w:jc w:val="left"/>
        <w:rPr/>
      </w:pPr>
      <w:r>
        <w:rPr/>
        <w:t> </w:t>
      </w:r>
    </w:p>
    <w:tbl>
      <w:tblPr>
        <w:tblW w:w="10205" w:type="dxa"/>
        <w:jc w:val="center"/>
        <w:tblInd w:w="0" w:type="dxa"/>
        <w:tblLayout w:type="fixed"/>
        <w:tblCellMar>
          <w:top w:w="0" w:type="dxa"/>
          <w:left w:w="0" w:type="dxa"/>
          <w:bottom w:w="0" w:type="dxa"/>
          <w:right w:w="0" w:type="dxa"/>
        </w:tblCellMar>
      </w:tblPr>
      <w:tblGrid>
        <w:gridCol w:w="6511"/>
        <w:gridCol w:w="3694"/>
      </w:tblGrid>
      <w:tr>
        <w:trPr/>
        <w:tc>
          <w:tcPr>
            <w:tcW w:w="6511" w:type="dxa"/>
            <w:tcBorders/>
            <w:vAlign w:val="center"/>
          </w:tcPr>
          <w:p>
            <w:pPr>
              <w:pStyle w:val="TableContents"/>
              <w:bidi w:val="0"/>
              <w:spacing w:before="0" w:after="283"/>
              <w:jc w:val="left"/>
              <w:rPr>
                <w:sz w:val="4"/>
                <w:szCs w:val="4"/>
              </w:rPr>
            </w:pPr>
            <w:r>
              <w:rPr>
                <w:sz w:val="4"/>
                <w:szCs w:val="4"/>
              </w:rPr>
            </w:r>
          </w:p>
        </w:tc>
        <w:tc>
          <w:tcPr>
            <w:tcW w:w="3694" w:type="dxa"/>
            <w:tcBorders/>
            <w:vAlign w:val="center"/>
          </w:tcPr>
          <w:p>
            <w:pPr>
              <w:pStyle w:val="TableContents"/>
              <w:bidi w:val="0"/>
              <w:spacing w:before="0" w:after="283"/>
              <w:jc w:val="left"/>
              <w:rPr>
                <w:sz w:val="4"/>
                <w:szCs w:val="4"/>
              </w:rPr>
            </w:pPr>
            <w:r>
              <w:rPr>
                <w:sz w:val="4"/>
                <w:szCs w:val="4"/>
              </w:rPr>
            </w:r>
          </w:p>
        </w:tc>
      </w:tr>
      <w:tr>
        <w:trPr/>
        <w:tc>
          <w:tcPr>
            <w:tcW w:w="6511" w:type="dxa"/>
            <w:tcBorders>
              <w:top w:val="single" w:sz="8" w:space="0" w:color="000000"/>
              <w:left w:val="single" w:sz="8" w:space="0" w:color="000000"/>
              <w:bottom w:val="single" w:sz="8" w:space="0" w:color="000000"/>
              <w:right w:val="single" w:sz="8" w:space="0" w:color="000000"/>
            </w:tcBorders>
            <w:shd w:fill="1F3864" w:val="clear"/>
            <w:tcMar>
              <w:top w:w="28" w:type="dxa"/>
              <w:left w:w="108" w:type="dxa"/>
              <w:bottom w:w="28" w:type="dxa"/>
              <w:right w:w="108" w:type="dxa"/>
            </w:tcMar>
            <w:vAlign w:val="center"/>
          </w:tcPr>
          <w:p>
            <w:pPr>
              <w:pStyle w:val="TableContents"/>
              <w:bidi w:val="0"/>
              <w:spacing w:before="120" w:after="120"/>
              <w:ind w:left="0" w:right="0" w:hanging="0"/>
              <w:jc w:val="center"/>
              <w:rPr>
                <w:rFonts w:ascii="Tenorite" w:hAnsi="Tenorite"/>
                <w:b/>
                <w:color w:val="FFFFFF"/>
                <w:sz w:val="24"/>
              </w:rPr>
            </w:pPr>
            <w:r>
              <w:rPr>
                <w:rFonts w:ascii="Tenorite" w:hAnsi="Tenorite"/>
                <w:b/>
                <w:color w:val="FFFFFF"/>
                <w:sz w:val="24"/>
              </w:rPr>
              <w:t>Employment Provision</w:t>
            </w:r>
          </w:p>
        </w:tc>
        <w:tc>
          <w:tcPr>
            <w:tcW w:w="3694" w:type="dxa"/>
            <w:tcBorders>
              <w:top w:val="single" w:sz="8" w:space="0" w:color="000000"/>
              <w:bottom w:val="single" w:sz="8" w:space="0" w:color="000000"/>
              <w:right w:val="single" w:sz="8" w:space="0" w:color="000000"/>
            </w:tcBorders>
            <w:shd w:fill="1F3864" w:val="clear"/>
            <w:tcMar>
              <w:top w:w="28" w:type="dxa"/>
              <w:bottom w:w="28" w:type="dxa"/>
              <w:right w:w="108" w:type="dxa"/>
            </w:tcMar>
            <w:vAlign w:val="center"/>
          </w:tcPr>
          <w:p>
            <w:pPr>
              <w:pStyle w:val="TableContents"/>
              <w:bidi w:val="0"/>
              <w:spacing w:before="120" w:after="120"/>
              <w:ind w:left="0" w:right="0" w:hanging="0"/>
              <w:jc w:val="center"/>
              <w:rPr>
                <w:rFonts w:ascii="Tenorite" w:hAnsi="Tenorite"/>
                <w:b/>
                <w:color w:val="FFFFFF"/>
                <w:sz w:val="24"/>
              </w:rPr>
            </w:pPr>
            <w:r>
              <w:rPr>
                <w:rFonts w:ascii="Tenorite" w:hAnsi="Tenorite"/>
                <w:b/>
                <w:color w:val="FFFFFF"/>
                <w:sz w:val="24"/>
              </w:rPr>
              <w:t>Compensation</w:t>
            </w:r>
          </w:p>
        </w:tc>
      </w:tr>
      <w:tr>
        <w:trPr/>
        <w:tc>
          <w:tcPr>
            <w:tcW w:w="6511" w:type="dxa"/>
            <w:tcBorders>
              <w:bottom w:val="single" w:sz="8" w:space="0" w:color="000000"/>
              <w:right w:val="single" w:sz="8" w:space="0" w:color="000000"/>
            </w:tcBorders>
            <w:tcMar>
              <w:bottom w:w="28" w:type="dxa"/>
              <w:right w:w="108" w:type="dxa"/>
            </w:tcMar>
            <w:vAlign w:val="center"/>
          </w:tcPr>
          <w:p>
            <w:pPr>
              <w:pStyle w:val="TableContents"/>
              <w:bidi w:val="0"/>
              <w:spacing w:before="120" w:after="120"/>
              <w:ind w:left="0" w:right="0" w:hanging="0"/>
              <w:jc w:val="center"/>
              <w:rPr>
                <w:rFonts w:ascii="Tenorite" w:hAnsi="Tenorite"/>
                <w:sz w:val="24"/>
              </w:rPr>
            </w:pPr>
            <w:r>
              <w:rPr>
                <w:rFonts w:ascii="Tenorite" w:hAnsi="Tenorite"/>
                <w:sz w:val="24"/>
              </w:rPr>
              <w:t>Annualized Base Salary</w:t>
            </w:r>
          </w:p>
        </w:tc>
        <w:tc>
          <w:tcPr>
            <w:tcW w:w="3694" w:type="dxa"/>
            <w:tcBorders>
              <w:bottom w:val="single" w:sz="8" w:space="0" w:color="000000"/>
              <w:right w:val="single" w:sz="8" w:space="0" w:color="000000"/>
            </w:tcBorders>
            <w:tcMar>
              <w:bottom w:w="28" w:type="dxa"/>
              <w:right w:w="108" w:type="dxa"/>
            </w:tcMar>
            <w:vAlign w:val="center"/>
          </w:tcPr>
          <w:p>
            <w:pPr>
              <w:pStyle w:val="TableContents"/>
              <w:bidi w:val="0"/>
              <w:spacing w:before="120" w:after="120"/>
              <w:ind w:left="0" w:right="0" w:hanging="0"/>
              <w:jc w:val="center"/>
              <w:rPr>
                <w:rFonts w:ascii="Tenorite" w:hAnsi="Tenorite"/>
                <w:color w:val="000000"/>
                <w:sz w:val="22"/>
              </w:rPr>
            </w:pPr>
            <w:r>
              <w:rPr>
                <w:rFonts w:ascii="Tenorite" w:hAnsi="Tenorite"/>
                <w:color w:val="000000"/>
                <w:sz w:val="22"/>
              </w:rPr>
              <w:t>$275,000</w:t>
            </w:r>
          </w:p>
        </w:tc>
      </w:tr>
      <w:tr>
        <w:trPr/>
        <w:tc>
          <w:tcPr>
            <w:tcW w:w="6511" w:type="dxa"/>
            <w:tcBorders>
              <w:bottom w:val="single" w:sz="8" w:space="0" w:color="000000"/>
              <w:right w:val="single" w:sz="8" w:space="0" w:color="000000"/>
            </w:tcBorders>
            <w:tcMar>
              <w:bottom w:w="28" w:type="dxa"/>
              <w:right w:w="108" w:type="dxa"/>
            </w:tcMar>
            <w:vAlign w:val="center"/>
          </w:tcPr>
          <w:p>
            <w:pPr>
              <w:pStyle w:val="TableContents"/>
              <w:bidi w:val="0"/>
              <w:spacing w:before="120" w:after="120"/>
              <w:ind w:left="0" w:right="0" w:hanging="0"/>
              <w:jc w:val="center"/>
              <w:rPr>
                <w:rFonts w:ascii="Tenorite" w:hAnsi="Tenorite"/>
                <w:sz w:val="24"/>
              </w:rPr>
            </w:pPr>
            <w:r>
              <w:rPr>
                <w:rFonts w:ascii="Tenorite" w:hAnsi="Tenorite"/>
                <w:sz w:val="24"/>
              </w:rPr>
              <w:t>Short Term Incentive Target</w:t>
            </w:r>
          </w:p>
        </w:tc>
        <w:tc>
          <w:tcPr>
            <w:tcW w:w="3694" w:type="dxa"/>
            <w:tcBorders>
              <w:bottom w:val="single" w:sz="8" w:space="0" w:color="000000"/>
              <w:right w:val="single" w:sz="8" w:space="0" w:color="000000"/>
            </w:tcBorders>
            <w:tcMar>
              <w:bottom w:w="28" w:type="dxa"/>
              <w:right w:w="108" w:type="dxa"/>
            </w:tcMar>
            <w:vAlign w:val="center"/>
          </w:tcPr>
          <w:p>
            <w:pPr>
              <w:pStyle w:val="TableContents"/>
              <w:bidi w:val="0"/>
              <w:spacing w:before="120" w:after="120"/>
              <w:ind w:left="0" w:right="0" w:hanging="0"/>
              <w:jc w:val="center"/>
              <w:rPr>
                <w:rFonts w:ascii="Tenorite" w:hAnsi="Tenorite"/>
                <w:color w:val="000000"/>
                <w:sz w:val="22"/>
              </w:rPr>
            </w:pPr>
            <w:r>
              <w:rPr>
                <w:rFonts w:ascii="Tenorite" w:hAnsi="Tenorite"/>
                <w:color w:val="000000"/>
                <w:sz w:val="22"/>
              </w:rPr>
              <w:t>$123,750 (45%)</w:t>
            </w:r>
          </w:p>
        </w:tc>
      </w:tr>
      <w:tr>
        <w:trPr/>
        <w:tc>
          <w:tcPr>
            <w:tcW w:w="6511" w:type="dxa"/>
            <w:tcBorders>
              <w:bottom w:val="single" w:sz="8" w:space="0" w:color="000000"/>
              <w:right w:val="single" w:sz="8" w:space="0" w:color="000000"/>
            </w:tcBorders>
            <w:tcMar>
              <w:bottom w:w="28" w:type="dxa"/>
              <w:right w:w="108" w:type="dxa"/>
            </w:tcMar>
            <w:vAlign w:val="center"/>
          </w:tcPr>
          <w:p>
            <w:pPr>
              <w:pStyle w:val="TableContents"/>
              <w:bidi w:val="0"/>
              <w:spacing w:before="120" w:after="120"/>
              <w:ind w:left="0" w:right="0" w:hanging="0"/>
              <w:jc w:val="center"/>
              <w:rPr>
                <w:rFonts w:ascii="Tenorite" w:hAnsi="Tenorite"/>
                <w:sz w:val="24"/>
              </w:rPr>
            </w:pPr>
            <w:r>
              <w:rPr>
                <w:rFonts w:ascii="Tenorite" w:hAnsi="Tenorite"/>
                <w:sz w:val="24"/>
              </w:rPr>
              <w:t>Long Term Incentive Target</w:t>
            </w:r>
          </w:p>
        </w:tc>
        <w:tc>
          <w:tcPr>
            <w:tcW w:w="3694" w:type="dxa"/>
            <w:tcBorders>
              <w:bottom w:val="single" w:sz="8" w:space="0" w:color="000000"/>
              <w:right w:val="single" w:sz="8" w:space="0" w:color="000000"/>
            </w:tcBorders>
            <w:tcMar>
              <w:bottom w:w="28" w:type="dxa"/>
              <w:right w:w="108" w:type="dxa"/>
            </w:tcMar>
            <w:vAlign w:val="center"/>
          </w:tcPr>
          <w:p>
            <w:pPr>
              <w:pStyle w:val="TableContents"/>
              <w:bidi w:val="0"/>
              <w:spacing w:before="120" w:after="120"/>
              <w:ind w:left="0" w:right="0" w:hanging="0"/>
              <w:jc w:val="center"/>
              <w:rPr>
                <w:rFonts w:ascii="Tenorite" w:hAnsi="Tenorite"/>
                <w:color w:val="000000"/>
                <w:sz w:val="22"/>
              </w:rPr>
            </w:pPr>
            <w:r>
              <w:rPr>
                <w:rFonts w:ascii="Tenorite" w:hAnsi="Tenorite"/>
                <w:color w:val="000000"/>
                <w:sz w:val="22"/>
              </w:rPr>
              <w:t>$200,000</w:t>
            </w:r>
            <w:r>
              <w:rPr>
                <w:rFonts w:ascii="Tenorite" w:hAnsi="Tenorite"/>
                <w:color w:val="000000"/>
                <w:position w:val="7"/>
                <w:sz w:val="18"/>
                <w:sz w:val="22"/>
              </w:rPr>
              <w:t>(1)</w:t>
            </w:r>
          </w:p>
        </w:tc>
      </w:tr>
      <w:tr>
        <w:trPr/>
        <w:tc>
          <w:tcPr>
            <w:tcW w:w="6511" w:type="dxa"/>
            <w:tcBorders>
              <w:bottom w:val="single" w:sz="8" w:space="0" w:color="000000"/>
              <w:right w:val="single" w:sz="8" w:space="0" w:color="000000"/>
            </w:tcBorders>
            <w:tcMar>
              <w:bottom w:w="28" w:type="dxa"/>
              <w:right w:w="108" w:type="dxa"/>
            </w:tcMar>
            <w:vAlign w:val="center"/>
          </w:tcPr>
          <w:p>
            <w:pPr>
              <w:pStyle w:val="TableContents"/>
              <w:bidi w:val="0"/>
              <w:spacing w:before="120" w:after="120"/>
              <w:ind w:left="0" w:right="0" w:hanging="0"/>
              <w:jc w:val="center"/>
              <w:rPr>
                <w:rFonts w:ascii="Tenorite" w:hAnsi="Tenorite"/>
                <w:sz w:val="24"/>
              </w:rPr>
            </w:pPr>
            <w:r>
              <w:rPr>
                <w:rFonts w:ascii="Tenorite" w:hAnsi="Tenorite"/>
                <w:sz w:val="24"/>
              </w:rPr>
              <w:t>Total Target Direct Compensation</w:t>
            </w:r>
          </w:p>
        </w:tc>
        <w:tc>
          <w:tcPr>
            <w:tcW w:w="3694" w:type="dxa"/>
            <w:tcBorders>
              <w:bottom w:val="single" w:sz="8" w:space="0" w:color="000000"/>
              <w:right w:val="single" w:sz="8" w:space="0" w:color="000000"/>
            </w:tcBorders>
            <w:tcMar>
              <w:bottom w:w="28" w:type="dxa"/>
              <w:right w:w="108" w:type="dxa"/>
            </w:tcMar>
            <w:vAlign w:val="center"/>
          </w:tcPr>
          <w:p>
            <w:pPr>
              <w:pStyle w:val="TableContents"/>
              <w:bidi w:val="0"/>
              <w:spacing w:before="120" w:after="120"/>
              <w:ind w:left="0" w:right="0" w:hanging="0"/>
              <w:jc w:val="center"/>
              <w:rPr>
                <w:rFonts w:ascii="Tenorite" w:hAnsi="Tenorite"/>
                <w:b/>
                <w:color w:val="000000"/>
                <w:sz w:val="22"/>
              </w:rPr>
            </w:pPr>
            <w:r>
              <w:rPr>
                <w:rFonts w:ascii="Tenorite" w:hAnsi="Tenorite"/>
                <w:b/>
                <w:color w:val="000000"/>
                <w:sz w:val="22"/>
              </w:rPr>
              <w:t>$598,750</w:t>
            </w:r>
          </w:p>
        </w:tc>
      </w:tr>
      <w:tr>
        <w:trPr/>
        <w:tc>
          <w:tcPr>
            <w:tcW w:w="6511" w:type="dxa"/>
            <w:tcBorders>
              <w:bottom w:val="single" w:sz="8" w:space="0" w:color="000000"/>
              <w:right w:val="single" w:sz="8" w:space="0" w:color="000000"/>
            </w:tcBorders>
            <w:tcMar>
              <w:bottom w:w="28" w:type="dxa"/>
              <w:right w:w="108" w:type="dxa"/>
            </w:tcMar>
            <w:vAlign w:val="center"/>
          </w:tcPr>
          <w:p>
            <w:pPr>
              <w:pStyle w:val="TableContents"/>
              <w:bidi w:val="0"/>
              <w:spacing w:before="120" w:after="120"/>
              <w:ind w:left="0" w:right="0" w:hanging="0"/>
              <w:jc w:val="center"/>
              <w:rPr>
                <w:rFonts w:ascii="Tenorite" w:hAnsi="Tenorite"/>
                <w:sz w:val="24"/>
              </w:rPr>
            </w:pPr>
            <w:r>
              <w:rPr>
                <w:rFonts w:ascii="Tenorite" w:hAnsi="Tenorite"/>
                <w:sz w:val="24"/>
              </w:rPr>
              <w:t>Percentage of Pay at Risk</w:t>
            </w:r>
          </w:p>
        </w:tc>
        <w:tc>
          <w:tcPr>
            <w:tcW w:w="3694" w:type="dxa"/>
            <w:tcBorders>
              <w:bottom w:val="single" w:sz="8" w:space="0" w:color="000000"/>
              <w:right w:val="single" w:sz="8" w:space="0" w:color="000000"/>
            </w:tcBorders>
            <w:tcMar>
              <w:bottom w:w="28" w:type="dxa"/>
              <w:right w:w="108" w:type="dxa"/>
            </w:tcMar>
            <w:vAlign w:val="center"/>
          </w:tcPr>
          <w:p>
            <w:pPr>
              <w:pStyle w:val="TableContents"/>
              <w:bidi w:val="0"/>
              <w:spacing w:before="120" w:after="120"/>
              <w:ind w:left="0" w:right="0" w:hanging="0"/>
              <w:jc w:val="center"/>
              <w:rPr>
                <w:rFonts w:ascii="Tenorite" w:hAnsi="Tenorite"/>
                <w:color w:val="000000"/>
                <w:sz w:val="22"/>
              </w:rPr>
            </w:pPr>
            <w:r>
              <w:rPr>
                <w:rFonts w:ascii="Tenorite" w:hAnsi="Tenorite"/>
                <w:color w:val="000000"/>
                <w:sz w:val="22"/>
              </w:rPr>
              <w:t>54%</w:t>
            </w:r>
          </w:p>
        </w:tc>
      </w:tr>
      <w:tr>
        <w:trPr/>
        <w:tc>
          <w:tcPr>
            <w:tcW w:w="10205" w:type="dxa"/>
            <w:gridSpan w:val="2"/>
            <w:tcBorders/>
            <w:vAlign w:val="center"/>
          </w:tcPr>
          <w:p>
            <w:pPr>
              <w:pStyle w:val="TableContents"/>
              <w:bidi w:val="0"/>
              <w:spacing w:before="0" w:after="0"/>
              <w:ind w:left="0" w:right="0" w:hanging="0"/>
              <w:jc w:val="center"/>
              <w:rPr>
                <w:color w:val="000000"/>
              </w:rPr>
            </w:pPr>
            <w:r>
              <w:rPr>
                <w:color w:val="000000"/>
              </w:rPr>
              <w:t> </w:t>
            </w:r>
          </w:p>
        </w:tc>
      </w:tr>
      <w:tr>
        <w:trPr/>
        <w:tc>
          <w:tcPr>
            <w:tcW w:w="10205" w:type="dxa"/>
            <w:gridSpan w:val="2"/>
            <w:tcBorders/>
            <w:vAlign w:val="center"/>
          </w:tcPr>
          <w:p>
            <w:pPr>
              <w:pStyle w:val="TableContents"/>
              <w:bidi w:val="0"/>
              <w:spacing w:before="0" w:after="0"/>
              <w:ind w:left="180" w:right="0" w:hanging="0"/>
              <w:jc w:val="left"/>
              <w:rPr>
                <w:rFonts w:ascii="Calibri;sans-serif" w:hAnsi="Calibri;sans-serif"/>
                <w:sz w:val="20"/>
              </w:rPr>
            </w:pPr>
            <w:r>
              <w:rPr>
                <w:rFonts w:ascii="Tenorite" w:hAnsi="Tenorite"/>
                <w:position w:val="7"/>
                <w:sz w:val="16"/>
                <w:sz w:val="20"/>
              </w:rPr>
              <w:t>(1)</w:t>
            </w:r>
            <w:r>
              <w:rPr>
                <w:rFonts w:ascii="Calibri;sans-serif" w:hAnsi="Calibri;sans-serif"/>
                <w:sz w:val="20"/>
              </w:rPr>
              <w:t xml:space="preserve"> </w:t>
            </w:r>
            <w:r>
              <w:rPr>
                <w:rFonts w:ascii="Tenorite" w:hAnsi="Tenorite"/>
                <w:i/>
                <w:sz w:val="20"/>
              </w:rPr>
              <w:t xml:space="preserve">Revised LTI value reflects an additional $100k in equity value beyond the grant issued in November, bringing the total LTI value for FY2026 to $200k.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enorite" w:hAnsi="Tenorite"/>
        </w:rPr>
      </w:pPr>
      <w:r>
        <w:rPr>
          <w:rFonts w:ascii="Tenorite" w:hAnsi="Tenorite"/>
        </w:rPr>
        <w:t>In addition to your expanded compensation, you will be eligible to participate in the Magnera Executive Severance Plan, effective February 2, 2026, which includes both severance and change-in-control benefits, and will be designated as a Section 16 Officer. In this role, you will be subject to the Company’s Share Ownership Guidelines and Clawback policies.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enorite" w:hAnsi="Tenorite"/>
        </w:rPr>
      </w:pPr>
      <w:r>
        <w:rPr>
          <w:rFonts w:ascii="Tenorite" w:hAnsi="Tenorite"/>
        </w:rPr>
        <w:t>Erin, congratulations on this well-earned promotion!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lineRule="auto" w:line="256" w:before="0" w:after="160"/>
        <w:ind w:left="0" w:right="0" w:hanging="0"/>
        <w:jc w:val="both"/>
        <w:rPr/>
      </w:pPr>
      <w:r>
        <w:rPr/>
        <w:t> </w:t>
      </w:r>
    </w:p>
    <w:p>
      <w:pPr>
        <w:pStyle w:val="TextBody"/>
        <w:bidi w:val="0"/>
        <w:spacing w:lineRule="auto" w:line="256" w:before="0" w:after="160"/>
        <w:ind w:left="0" w:right="0" w:hanging="0"/>
        <w:jc w:val="both"/>
        <w:rPr>
          <w:rFonts w:ascii="Tenorite" w:hAnsi="Tenorite"/>
          <w:sz w:val="20"/>
        </w:rPr>
      </w:pPr>
      <w:r>
        <w:rPr>
          <w:rFonts w:ascii="Tenorite" w:hAnsi="Tenorite"/>
          <w:sz w:val="20"/>
        </w:rPr>
        <w:t>________________________________________</w:t>
      </w:r>
    </w:p>
    <w:p>
      <w:pPr>
        <w:pStyle w:val="TextBody"/>
        <w:bidi w:val="0"/>
        <w:spacing w:before="0" w:after="0"/>
        <w:ind w:left="0" w:right="0" w:hanging="0"/>
        <w:jc w:val="both"/>
        <w:rPr>
          <w:rFonts w:ascii="Tenorite" w:hAnsi="Tenorite"/>
          <w:b/>
          <w:color w:val="1F3864"/>
        </w:rPr>
      </w:pPr>
      <w:r>
        <w:rPr>
          <w:rFonts w:ascii="Tenorite" w:hAnsi="Tenorite"/>
          <w:b/>
          <w:color w:val="1F3864"/>
        </w:rPr>
        <w:t xml:space="preserve">Curt Begle </w:t>
      </w:r>
    </w:p>
    <w:p>
      <w:pPr>
        <w:pStyle w:val="TextBody"/>
        <w:bidi w:val="0"/>
        <w:spacing w:before="0" w:after="0"/>
        <w:ind w:left="0" w:right="0" w:hanging="0"/>
        <w:jc w:val="both"/>
        <w:rPr>
          <w:rFonts w:ascii="Tenorite" w:hAnsi="Tenorite"/>
        </w:rPr>
      </w:pPr>
      <w:r>
        <w:rPr>
          <w:rFonts w:ascii="Tenorite" w:hAnsi="Tenorite"/>
        </w:rPr>
        <w:t xml:space="preserve">Chief Executive Officer, Magnera </w:t>
      </w:r>
    </w:p>
    <w:p>
      <w:pPr>
        <w:pStyle w:val="TextBody"/>
        <w:bidi w:val="0"/>
        <w:spacing w:before="0" w:after="0"/>
        <w:ind w:left="0" w:right="0" w:hanging="0"/>
        <w:jc w:val="both"/>
        <w:rPr/>
      </w:pPr>
      <w:r>
        <w:rPr/>
        <w:t> </w:t>
      </w:r>
    </w:p>
    <w:p>
      <w:pPr>
        <w:pStyle w:val="TextBody"/>
        <w:bidi w:val="0"/>
        <w:spacing w:lineRule="auto" w:line="302" w:before="0" w:after="160"/>
        <w:jc w:val="both"/>
        <w:rPr/>
      </w:pPr>
      <w:r>
        <w:rPr/>
        <w:t> </w:t>
      </w:r>
    </w:p>
    <w:p>
      <w:pPr>
        <w:pStyle w:val="TextBody"/>
        <w:bidi w:val="0"/>
        <w:spacing w:lineRule="auto" w:line="302"/>
        <w:jc w:val="left"/>
        <w:rPr/>
      </w:pPr>
      <w:r>
        <w:rPr/>
        <w:t xml:space="preserve">  </w:t>
      </w:r>
    </w:p>
    <w:p>
      <w:pPr>
        <w:pStyle w:val="TextBody"/>
        <w:bidi w:val="0"/>
        <w:spacing w:lineRule="auto" w:line="336" w:before="0" w:after="0"/>
        <w:jc w:val="right"/>
        <w:rPr/>
      </w:pPr>
      <w:bookmarkStart w:id="19" w:name="ex31-1.htm"/>
      <w:bookmarkStart w:id="20" w:name="ksex311"/>
      <w:bookmarkEnd w:id="19"/>
      <w:bookmarkEnd w:id="20"/>
      <w:r>
        <w:rPr>
          <w:b/>
          <w:sz w:val="20"/>
        </w:rPr>
        <w:t>EXHIBIT 31.1</w:t>
      </w:r>
      <w:r>
        <w:rPr/>
        <w:t xml:space="preserve"> </w:t>
      </w:r>
      <w:r>
        <w:br w:type="page"/>
      </w:r>
    </w:p>
    <w:p>
      <w:pPr>
        <w:pStyle w:val="TextBody"/>
        <w:bidi w:val="0"/>
        <w:spacing w:lineRule="auto" w:line="336" w:before="0" w:after="0"/>
        <w:jc w:val="center"/>
        <w:rPr/>
      </w:pPr>
      <w:r>
        <w:rPr/>
        <w:t xml:space="preserve">  </w:t>
      </w:r>
    </w:p>
    <w:p>
      <w:pPr>
        <w:pStyle w:val="TextBody"/>
        <w:bidi w:val="0"/>
        <w:spacing w:lineRule="auto" w:line="336" w:before="0" w:after="0"/>
        <w:jc w:val="center"/>
        <w:rPr/>
      </w:pPr>
      <w:r>
        <w:rPr/>
        <w:t xml:space="preserve">  </w:t>
      </w:r>
    </w:p>
    <w:p>
      <w:pPr>
        <w:pStyle w:val="TextBody"/>
        <w:bidi w:val="0"/>
        <w:spacing w:lineRule="auto" w:line="336" w:before="0" w:after="0"/>
        <w:jc w:val="center"/>
        <w:rPr/>
      </w:pPr>
      <w:r>
        <w:rPr>
          <w:b/>
          <w:sz w:val="20"/>
        </w:rPr>
        <w:t>CHIEF EXECUTIVE OFFICER CERTIFICATION</w:t>
      </w:r>
      <w:r>
        <w:rPr/>
        <w:t xml:space="preserve"> </w:t>
      </w:r>
    </w:p>
    <w:p>
      <w:pPr>
        <w:pStyle w:val="TextBody"/>
        <w:bidi w:val="0"/>
        <w:spacing w:lineRule="auto" w:line="314" w:before="0" w:after="0"/>
        <w:jc w:val="left"/>
        <w:rPr/>
      </w:pPr>
      <w:r>
        <w:rPr/>
        <w:t xml:space="preserve">  </w:t>
      </w:r>
    </w:p>
    <w:p>
      <w:pPr>
        <w:pStyle w:val="TextBody"/>
        <w:bidi w:val="0"/>
        <w:spacing w:lineRule="auto" w:line="314" w:before="0" w:after="0"/>
        <w:jc w:val="left"/>
        <w:rPr/>
      </w:pPr>
      <w:r>
        <w:rPr>
          <w:sz w:val="20"/>
        </w:rPr>
        <w:t>I, Curtis L. Begle, Chief Executive Officer of Magnera Corporation, certify that:</w:t>
      </w:r>
      <w:r>
        <w:rPr/>
        <w:t xml:space="preserve"> </w:t>
      </w:r>
    </w:p>
    <w:p>
      <w:pPr>
        <w:pStyle w:val="TextBody"/>
        <w:bidi w:val="0"/>
        <w:spacing w:lineRule="auto" w:line="336" w:before="120" w:after="283"/>
        <w:jc w:val="left"/>
        <w:rPr>
          <w:sz w:val="20"/>
        </w:rPr>
      </w:pPr>
      <w:r>
        <w:rPr>
          <w:sz w:val="20"/>
        </w:rPr>
        <w:t xml:space="preserve">1. </w:t>
      </w:r>
    </w:p>
    <w:p>
      <w:pPr>
        <w:pStyle w:val="TextBody"/>
        <w:bidi w:val="0"/>
        <w:spacing w:lineRule="auto" w:line="336" w:before="120" w:after="283"/>
        <w:ind w:left="360" w:right="0" w:hanging="0"/>
        <w:jc w:val="left"/>
        <w:rPr>
          <w:sz w:val="20"/>
        </w:rPr>
      </w:pPr>
      <w:r>
        <w:rPr>
          <w:sz w:val="20"/>
        </w:rPr>
        <w:t xml:space="preserve">I have reviewed this quarterly report on Form 10-Q of Magnera Corporation (the "Registrant"); </w:t>
      </w:r>
    </w:p>
    <w:p>
      <w:pPr>
        <w:pStyle w:val="TextBody"/>
        <w:bidi w:val="0"/>
        <w:spacing w:lineRule="auto" w:line="336" w:before="120" w:after="283"/>
        <w:jc w:val="left"/>
        <w:rPr>
          <w:sz w:val="20"/>
        </w:rPr>
      </w:pPr>
      <w:r>
        <w:rPr>
          <w:sz w:val="20"/>
        </w:rPr>
        <w:t xml:space="preserve">2. </w:t>
      </w:r>
    </w:p>
    <w:p>
      <w:pPr>
        <w:pStyle w:val="TextBody"/>
        <w:bidi w:val="0"/>
        <w:spacing w:lineRule="auto" w:line="336" w:before="120" w:after="283"/>
        <w:ind w:left="360" w:right="0" w:hanging="0"/>
        <w:jc w:val="left"/>
        <w:rPr>
          <w:sz w:val="20"/>
        </w:rPr>
      </w:pPr>
      <w:r>
        <w:rPr>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36" w:before="120" w:after="283"/>
        <w:ind w:left="0" w:right="0" w:hanging="360"/>
        <w:jc w:val="left"/>
        <w:rPr>
          <w:sz w:val="20"/>
        </w:rPr>
      </w:pPr>
      <w:r>
        <w:rPr>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3.</w:t>
                      </w:r>
                      <w:r>
                        <w:rPr/>
                        <w:t xml:space="preserve"> </w:t>
                      </w:r>
                    </w:p>
                  </w:txbxContent>
                </v:textbox>
                <w10:wrap type="square" side="right"/>
              </v:rect>
            </w:pict>
          </mc:Fallback>
        </mc:AlternateContent>
      </w:r>
    </w:p>
    <w:p>
      <w:pPr>
        <w:pStyle w:val="TextBody"/>
        <w:bidi w:val="0"/>
        <w:spacing w:lineRule="auto" w:line="336" w:before="120" w:after="283"/>
        <w:ind w:left="0" w:right="0" w:hanging="360"/>
        <w:jc w:val="left"/>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4.</w:t>
                      </w:r>
                      <w:r>
                        <w:rPr/>
                        <w:t xml:space="preserve"> </w:t>
                      </w:r>
                    </w:p>
                  </w:txbxContent>
                </v:textbox>
                <w10:wrap type="square" side="right"/>
              </v:rect>
            </w:pict>
          </mc:Fallback>
        </mc:AlternateContent>
      </w:r>
    </w:p>
    <w:p>
      <w:pPr>
        <w:pStyle w:val="TextBody"/>
        <w:bidi w:val="0"/>
        <w:spacing w:lineRule="auto" w:line="336" w:before="120" w:after="283"/>
        <w:ind w:left="0" w:right="0" w:hanging="360"/>
        <w:jc w:val="left"/>
        <w:rPr>
          <w:sz w:val="20"/>
        </w:rPr>
      </w:pPr>
      <w:r>
        <w:rPr>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 </w:t>
      </w:r>
    </w:p>
    <w:p>
      <w:pPr>
        <w:pStyle w:val="TextBody"/>
        <w:bidi w:val="0"/>
        <w:spacing w:lineRule="auto" w:line="336" w:before="120" w:after="283"/>
        <w:ind w:left="0" w:right="0" w:hanging="360"/>
        <w:jc w:val="left"/>
        <w:rPr>
          <w:sz w:val="20"/>
        </w:rPr>
      </w:pPr>
      <w:r>
        <w:rPr>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36" w:before="120" w:after="283"/>
        <w:ind w:left="0" w:right="0" w:hanging="360"/>
        <w:jc w:val="left"/>
        <w:rPr>
          <w:sz w:val="20"/>
        </w:rPr>
      </w:pPr>
      <w:r>
        <w:rPr>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36" w:before="120" w:after="283"/>
        <w:ind w:left="0" w:right="0" w:hanging="360"/>
        <w:jc w:val="left"/>
        <w:rPr>
          <w:sz w:val="20"/>
        </w:rPr>
      </w:pPr>
      <w:r>
        <w:rPr>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6" w:before="120" w:after="283"/>
        <w:ind w:left="0" w:right="0" w:hanging="360"/>
        <w:jc w:val="left"/>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5.</w:t>
                      </w:r>
                      <w:r>
                        <w:rPr/>
                        <w:t xml:space="preserve"> </w:t>
                      </w:r>
                    </w:p>
                  </w:txbxContent>
                </v:textbox>
                <w10:wrap type="square" side="right"/>
              </v:rect>
            </w:pict>
          </mc:Fallback>
        </mc:AlternateContent>
      </w:r>
    </w:p>
    <w:p>
      <w:pPr>
        <w:pStyle w:val="TextBody"/>
        <w:bidi w:val="0"/>
        <w:spacing w:lineRule="auto" w:line="336" w:before="120" w:after="283"/>
        <w:ind w:left="0" w:right="0" w:hanging="360"/>
        <w:jc w:val="left"/>
        <w:rPr/>
      </w:pPr>
      <w:r>
        <w:rPr>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p>
    <w:p>
      <w:pPr>
        <w:pStyle w:val="TextBody"/>
        <w:bidi w:val="0"/>
        <w:spacing w:lineRule="auto" w:line="336" w:before="120" w:after="283"/>
        <w:ind w:left="0" w:right="0" w:hanging="360"/>
        <w:jc w:val="left"/>
        <w:rPr/>
      </w:pPr>
      <w:r>
        <w:rPr>
          <w:sz w:val="20"/>
        </w:rPr>
        <w:t>(b)  Any fraud, whether or not material, that involves management or other employees who have a significant role in the Registrant's internal control over financial reporting.</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371600" cy="146685"/>
                <wp:effectExtent l="0" t="0" r="0" b="0"/>
                <wp:wrapSquare wrapText="right"/>
                <wp:docPr id="6" name="Frame4"/>
                <a:graphic xmlns:a="http://schemas.openxmlformats.org/drawingml/2006/main">
                  <a:graphicData uri="http://schemas.microsoft.com/office/word/2010/wordprocessingShape">
                    <wps:wsp>
                      <wps:cNvSpPr txBox="1"/>
                      <wps:spPr>
                        <a:xfrm>
                          <a:off x="0" y="0"/>
                          <a:ext cx="1371600" cy="146685"/>
                        </a:xfrm>
                        <a:prstGeom prst="rect"/>
                        <a:solidFill>
                          <a:srgbClr val="FFFFFF"/>
                        </a:solidFill>
                      </wps:spPr>
                      <wps:txbx>
                        <w:txbxContent>
                          <w:p>
                            <w:pPr>
                              <w:pStyle w:val="TextBody"/>
                              <w:bidi w:val="0"/>
                              <w:spacing w:before="0" w:after="283"/>
                              <w:jc w:val="left"/>
                              <w:rPr>
                                <w:sz w:val="20"/>
                              </w:rPr>
                            </w:pPr>
                            <w:r>
                              <w:rPr>
                                <w:sz w:val="20"/>
                              </w:rPr>
                              <w:t>Date: May 6, 2026</w:t>
                            </w:r>
                          </w:p>
                        </w:txbxContent>
                      </wps:txbx>
                      <wps:bodyPr anchor="t" lIns="0" tIns="0" rIns="0" bIns="0">
                        <a:noAutofit/>
                      </wps:bodyPr>
                    </wps:wsp>
                  </a:graphicData>
                </a:graphic>
              </wp:anchor>
            </w:drawing>
          </mc:Choice>
          <mc:Fallback>
            <w:pict>
              <v:rect style="position:absolute;rotation:-0;width:10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0"/>
                        </w:rPr>
                      </w:pPr>
                      <w:r>
                        <w:rPr>
                          <w:sz w:val="20"/>
                        </w:rPr>
                        <w:t>Date: May 6, 2026</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0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tbl>
      <w:tblPr>
        <w:tblW w:w="2552" w:type="dxa"/>
        <w:jc w:val="left"/>
        <w:tblInd w:w="0" w:type="dxa"/>
        <w:tblLayout w:type="fixed"/>
        <w:tblCellMar>
          <w:top w:w="0" w:type="dxa"/>
          <w:left w:w="0" w:type="dxa"/>
          <w:bottom w:w="0" w:type="dxa"/>
          <w:right w:w="0" w:type="dxa"/>
        </w:tblCellMar>
      </w:tblPr>
      <w:tblGrid>
        <w:gridCol w:w="421"/>
        <w:gridCol w:w="2131"/>
      </w:tblGrid>
      <w:tr>
        <w:trPr/>
        <w:tc>
          <w:tcPr>
            <w:tcW w:w="421" w:type="dxa"/>
            <w:tcBorders/>
            <w:vAlign w:val="center"/>
          </w:tcPr>
          <w:p>
            <w:pPr>
              <w:pStyle w:val="TableContents"/>
              <w:bidi w:val="0"/>
              <w:spacing w:before="53" w:after="30"/>
              <w:jc w:val="left"/>
              <w:rPr/>
            </w:pPr>
            <w:r>
              <w:rPr>
                <w:color w:val="000000"/>
                <w:sz w:val="20"/>
              </w:rPr>
              <w:t>By</w:t>
            </w:r>
            <w:r>
              <w:rPr/>
              <w:t xml:space="preserve"> </w:t>
            </w:r>
          </w:p>
        </w:tc>
        <w:tc>
          <w:tcPr>
            <w:tcW w:w="2131" w:type="dxa"/>
            <w:tcBorders>
              <w:bottom w:val="single" w:sz="8" w:space="0" w:color="000000"/>
            </w:tcBorders>
            <w:tcMar>
              <w:bottom w:w="28" w:type="dxa"/>
            </w:tcMar>
            <w:vAlign w:val="center"/>
          </w:tcPr>
          <w:p>
            <w:pPr>
              <w:pStyle w:val="TableContents"/>
              <w:bidi w:val="0"/>
              <w:spacing w:before="53" w:after="30"/>
              <w:jc w:val="left"/>
              <w:rPr/>
            </w:pPr>
            <w:r>
              <w:rPr>
                <w:color w:val="000000"/>
                <w:sz w:val="20"/>
              </w:rPr>
              <w:t>/s/ Curtis L. Begle</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131" w:type="dxa"/>
            <w:tcBorders>
              <w:top w:val="single" w:sz="8" w:space="0" w:color="000000"/>
            </w:tcBorders>
            <w:tcMar>
              <w:top w:w="28" w:type="dxa"/>
            </w:tcMar>
            <w:vAlign w:val="center"/>
          </w:tcPr>
          <w:p>
            <w:pPr>
              <w:pStyle w:val="TableContents"/>
              <w:bidi w:val="0"/>
              <w:spacing w:before="33" w:after="30"/>
              <w:ind w:left="240" w:right="0" w:hanging="0"/>
              <w:jc w:val="left"/>
              <w:rPr/>
            </w:pPr>
            <w:r>
              <w:rPr>
                <w:sz w:val="20"/>
              </w:rPr>
              <w:t>Curtis L. Begle</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131" w:type="dxa"/>
            <w:tcBorders/>
            <w:vAlign w:val="center"/>
          </w:tcPr>
          <w:p>
            <w:pPr>
              <w:pStyle w:val="TableContents"/>
              <w:bidi w:val="0"/>
              <w:spacing w:before="53" w:after="30"/>
              <w:ind w:left="240" w:right="0" w:hanging="0"/>
              <w:jc w:val="left"/>
              <w:rPr/>
            </w:pPr>
            <w:r>
              <w:rPr>
                <w:color w:val="000000"/>
                <w:sz w:val="20"/>
              </w:rPr>
              <w:t>Chief Executive Officer</w:t>
            </w:r>
            <w:r>
              <w:rPr/>
              <w:t xml:space="preserve"> </w:t>
            </w:r>
          </w:p>
        </w:tc>
      </w:tr>
    </w:tbl>
    <w:p>
      <w:pPr>
        <w:pStyle w:val="TextBody"/>
        <w:bidi w:val="0"/>
        <w:spacing w:lineRule="auto" w:line="336" w:before="0" w:after="0"/>
        <w:jc w:val="left"/>
        <w:rPr/>
      </w:pPr>
      <w:r>
        <w:rPr/>
        <w:t xml:space="preserve">  </w:t>
      </w:r>
    </w:p>
    <w:p>
      <w:pPr>
        <w:pStyle w:val="TextBody"/>
        <w:bidi w:val="0"/>
        <w:spacing w:lineRule="auto" w:line="336"/>
        <w:jc w:val="left"/>
        <w:rPr/>
      </w:pPr>
      <w:r>
        <w:rPr/>
        <w:t xml:space="preserve">  </w:t>
      </w:r>
    </w:p>
    <w:p>
      <w:pPr>
        <w:pStyle w:val="TextBody"/>
        <w:bidi w:val="0"/>
        <w:spacing w:lineRule="auto" w:line="336" w:before="0" w:after="0"/>
        <w:jc w:val="right"/>
        <w:rPr/>
      </w:pPr>
      <w:bookmarkStart w:id="21" w:name="ex31-2.htm"/>
      <w:bookmarkStart w:id="22" w:name="ksex312"/>
      <w:bookmarkEnd w:id="21"/>
      <w:bookmarkEnd w:id="22"/>
      <w:r>
        <w:rPr>
          <w:b/>
          <w:sz w:val="20"/>
        </w:rPr>
        <w:t>EXHIBIT 31.2</w:t>
      </w:r>
      <w:r>
        <w:rPr/>
        <w:t xml:space="preserve"> </w:t>
      </w:r>
      <w:r>
        <w:br w:type="page"/>
      </w:r>
    </w:p>
    <w:p>
      <w:pPr>
        <w:pStyle w:val="TextBody"/>
        <w:bidi w:val="0"/>
        <w:spacing w:lineRule="auto" w:line="336" w:before="0" w:after="0"/>
        <w:jc w:val="right"/>
        <w:rPr/>
      </w:pPr>
      <w:r>
        <w:rPr/>
        <w:t xml:space="preserve">  </w:t>
      </w:r>
    </w:p>
    <w:p>
      <w:pPr>
        <w:pStyle w:val="TextBody"/>
        <w:bidi w:val="0"/>
        <w:spacing w:lineRule="auto" w:line="336" w:before="0" w:after="0"/>
        <w:jc w:val="right"/>
        <w:rPr/>
      </w:pPr>
      <w:r>
        <w:rPr/>
        <w:t xml:space="preserve">  </w:t>
      </w:r>
    </w:p>
    <w:p>
      <w:pPr>
        <w:pStyle w:val="TextBody"/>
        <w:bidi w:val="0"/>
        <w:spacing w:lineRule="auto" w:line="336" w:before="0" w:after="0"/>
        <w:jc w:val="center"/>
        <w:rPr/>
      </w:pPr>
      <w:r>
        <w:rPr>
          <w:b/>
          <w:sz w:val="20"/>
        </w:rPr>
        <w:t>CHIEF FINANCIAL OFFICER CERTIFICATION</w:t>
      </w:r>
      <w:r>
        <w:rPr/>
        <w:t xml:space="preserve"> </w:t>
      </w:r>
    </w:p>
    <w:p>
      <w:pPr>
        <w:pStyle w:val="TextBody"/>
        <w:bidi w:val="0"/>
        <w:spacing w:lineRule="auto" w:line="336" w:before="120" w:after="283"/>
        <w:jc w:val="left"/>
        <w:rPr/>
      </w:pPr>
      <w:r>
        <w:rPr>
          <w:sz w:val="20"/>
        </w:rPr>
        <w:t>I, James M. Till, Chief Financial Officer of Magnera Corporation, certify that:</w:t>
      </w:r>
      <w:r>
        <w:rPr/>
        <w:t xml:space="preserve"> </w:t>
      </w:r>
    </w:p>
    <w:p>
      <w:pPr>
        <w:pStyle w:val="TextBody"/>
        <w:bidi w:val="0"/>
        <w:spacing w:lineRule="auto" w:line="336" w:before="120" w:after="283"/>
        <w:jc w:val="left"/>
        <w:rPr>
          <w:sz w:val="20"/>
        </w:rPr>
      </w:pPr>
      <w:r>
        <w:rPr>
          <w:sz w:val="20"/>
        </w:rPr>
        <w:t xml:space="preserve">1. </w:t>
      </w:r>
    </w:p>
    <w:p>
      <w:pPr>
        <w:pStyle w:val="TextBody"/>
        <w:bidi w:val="0"/>
        <w:spacing w:lineRule="auto" w:line="336" w:before="120" w:after="283"/>
        <w:ind w:left="360" w:right="0" w:hanging="0"/>
        <w:jc w:val="left"/>
        <w:rPr>
          <w:sz w:val="20"/>
        </w:rPr>
      </w:pPr>
      <w:r>
        <w:rPr>
          <w:sz w:val="20"/>
        </w:rPr>
        <w:t xml:space="preserve">I have reviewed this quarterly report on Form 10-Q of Magnera Corporation (the "Registrant"); </w:t>
      </w:r>
    </w:p>
    <w:p>
      <w:pPr>
        <w:pStyle w:val="TextBody"/>
        <w:bidi w:val="0"/>
        <w:spacing w:lineRule="auto" w:line="336" w:before="120" w:after="283"/>
        <w:jc w:val="left"/>
        <w:rPr>
          <w:sz w:val="20"/>
        </w:rPr>
      </w:pPr>
      <w:r>
        <w:rPr>
          <w:sz w:val="20"/>
        </w:rPr>
        <w:t xml:space="preserve">2. </w:t>
      </w:r>
    </w:p>
    <w:p>
      <w:pPr>
        <w:pStyle w:val="TextBody"/>
        <w:bidi w:val="0"/>
        <w:spacing w:lineRule="auto" w:line="336" w:before="120" w:after="283"/>
        <w:ind w:left="360" w:right="0" w:hanging="0"/>
        <w:jc w:val="left"/>
        <w:rPr>
          <w:sz w:val="20"/>
        </w:rPr>
      </w:pPr>
      <w:r>
        <w:rPr>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36" w:before="120" w:after="283"/>
        <w:jc w:val="left"/>
        <w:rPr>
          <w:sz w:val="20"/>
        </w:rPr>
      </w:pPr>
      <w:r>
        <w:rPr>
          <w:sz w:val="20"/>
        </w:rPr>
        <w:t xml:space="preserve">3. </w:t>
      </w:r>
    </w:p>
    <w:p>
      <w:pPr>
        <w:pStyle w:val="TextBody"/>
        <w:bidi w:val="0"/>
        <w:spacing w:lineRule="auto" w:line="336" w:before="120" w:after="283"/>
        <w:ind w:left="360" w:right="0" w:hanging="0"/>
        <w:jc w:val="left"/>
        <w:rPr>
          <w:sz w:val="20"/>
        </w:rPr>
      </w:pPr>
      <w:r>
        <w:rPr>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36" w:before="120" w:after="283"/>
        <w:jc w:val="left"/>
        <w:rPr>
          <w:sz w:val="20"/>
        </w:rPr>
      </w:pPr>
      <w:r>
        <w:rPr>
          <w:sz w:val="20"/>
        </w:rPr>
        <w:t xml:space="preserve">4. </w:t>
      </w:r>
    </w:p>
    <w:p>
      <w:pPr>
        <w:pStyle w:val="TextBody"/>
        <w:bidi w:val="0"/>
        <w:spacing w:lineRule="auto" w:line="336" w:before="120" w:after="283"/>
        <w:ind w:left="360" w:right="0" w:hanging="0"/>
        <w:jc w:val="left"/>
        <w:rPr>
          <w:sz w:val="20"/>
        </w:rPr>
      </w:pPr>
      <w:r>
        <w:rPr>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336" w:before="120" w:after="283"/>
        <w:ind w:left="0" w:right="0" w:hanging="360"/>
        <w:jc w:val="left"/>
        <w:rPr/>
      </w:pPr>
      <w:r>
        <w:rPr>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r>
        <w:rPr/>
        <w:t xml:space="preserve"> </w:t>
      </w:r>
    </w:p>
    <w:p>
      <w:pPr>
        <w:pStyle w:val="TextBody"/>
        <w:bidi w:val="0"/>
        <w:spacing w:lineRule="auto" w:line="336" w:before="120" w:after="283"/>
        <w:ind w:left="0" w:right="0" w:hanging="360"/>
        <w:jc w:val="left"/>
        <w:rPr>
          <w:sz w:val="20"/>
        </w:rPr>
      </w:pPr>
      <w:r>
        <w:rPr>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36" w:before="120" w:after="283"/>
        <w:ind w:left="0" w:right="0" w:hanging="360"/>
        <w:jc w:val="left"/>
        <w:rPr>
          <w:sz w:val="20"/>
        </w:rPr>
      </w:pPr>
      <w:r>
        <w:rPr>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36" w:before="120" w:after="283"/>
        <w:ind w:left="0" w:right="0" w:hanging="360"/>
        <w:jc w:val="left"/>
        <w:rPr>
          <w:sz w:val="20"/>
        </w:rPr>
      </w:pPr>
      <w:r>
        <w:rPr>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6" w:before="120" w:after="283"/>
        <w:ind w:left="0" w:right="0" w:hanging="360"/>
        <w:jc w:val="left"/>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228600" cy="175260"/>
                <wp:effectExtent l="0" t="0" r="0" b="0"/>
                <wp:wrapSquare wrapText="right"/>
                <wp:docPr id="8"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5.</w:t>
                      </w:r>
                      <w:r>
                        <w:rPr/>
                        <w:t xml:space="preserve"> </w:t>
                      </w:r>
                    </w:p>
                  </w:txbxContent>
                </v:textbox>
                <w10:wrap type="square" side="right"/>
              </v:rect>
            </w:pict>
          </mc:Fallback>
        </mc:AlternateContent>
      </w:r>
    </w:p>
    <w:p>
      <w:pPr>
        <w:pStyle w:val="TextBody"/>
        <w:bidi w:val="0"/>
        <w:spacing w:lineRule="auto" w:line="336" w:before="120" w:after="283"/>
        <w:ind w:left="0" w:right="0" w:hanging="360"/>
        <w:jc w:val="left"/>
        <w:rPr/>
      </w:pPr>
      <w:r>
        <w:rPr>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p>
    <w:p>
      <w:pPr>
        <w:pStyle w:val="TextBody"/>
        <w:bidi w:val="0"/>
        <w:spacing w:lineRule="auto" w:line="336" w:before="120" w:after="283"/>
        <w:ind w:left="0" w:right="0" w:hanging="360"/>
        <w:jc w:val="left"/>
        <w:rPr/>
      </w:pPr>
      <w:r>
        <w:rPr>
          <w:sz w:val="20"/>
        </w:rPr>
        <w:t>(b)  Any fraud, whether or not material, that involves management or other employees who have a significant role in the Registrant's internal control over financial reporting.</w:t>
      </w:r>
      <w:r>
        <w:rPr/>
        <w:t xml:space="preserve"> </w:t>
      </w:r>
    </w:p>
    <w:p>
      <w:pPr>
        <w:pStyle w:val="TextBody"/>
        <w:bidi w:val="0"/>
        <w:spacing w:lineRule="auto" w:line="336" w:before="120" w:after="283"/>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sz w:val="20"/>
        </w:rPr>
      </w:pPr>
      <w:r>
        <w:rPr>
          <w:sz w:val="20"/>
        </w:rPr>
        <w:t>Date: May 6, 2026</w:t>
      </w:r>
    </w:p>
    <w:tbl>
      <w:tblPr>
        <w:tblW w:w="2492" w:type="dxa"/>
        <w:jc w:val="left"/>
        <w:tblInd w:w="0" w:type="dxa"/>
        <w:tblLayout w:type="fixed"/>
        <w:tblCellMar>
          <w:top w:w="0" w:type="dxa"/>
          <w:left w:w="0" w:type="dxa"/>
          <w:bottom w:w="0" w:type="dxa"/>
          <w:right w:w="0" w:type="dxa"/>
        </w:tblCellMar>
      </w:tblPr>
      <w:tblGrid>
        <w:gridCol w:w="421"/>
        <w:gridCol w:w="2071"/>
      </w:tblGrid>
      <w:tr>
        <w:trPr/>
        <w:tc>
          <w:tcPr>
            <w:tcW w:w="421" w:type="dxa"/>
            <w:tcBorders/>
            <w:vAlign w:val="center"/>
          </w:tcPr>
          <w:p>
            <w:pPr>
              <w:pStyle w:val="TableContents"/>
              <w:bidi w:val="0"/>
              <w:spacing w:before="53" w:after="30"/>
              <w:jc w:val="left"/>
              <w:rPr/>
            </w:pPr>
            <w:r>
              <w:rPr>
                <w:color w:val="000000"/>
                <w:sz w:val="20"/>
              </w:rPr>
              <w:t>By</w:t>
            </w:r>
            <w:r>
              <w:rPr/>
              <w:t xml:space="preserve"> </w:t>
            </w:r>
          </w:p>
        </w:tc>
        <w:tc>
          <w:tcPr>
            <w:tcW w:w="2071" w:type="dxa"/>
            <w:tcBorders>
              <w:bottom w:val="single" w:sz="8" w:space="0" w:color="000000"/>
            </w:tcBorders>
            <w:tcMar>
              <w:bottom w:w="28" w:type="dxa"/>
            </w:tcMar>
            <w:vAlign w:val="center"/>
          </w:tcPr>
          <w:p>
            <w:pPr>
              <w:pStyle w:val="TableContents"/>
              <w:bidi w:val="0"/>
              <w:spacing w:before="53" w:after="30"/>
              <w:jc w:val="left"/>
              <w:rPr/>
            </w:pPr>
            <w:r>
              <w:rPr>
                <w:sz w:val="20"/>
              </w:rPr>
              <w:t>/s/ James M. Till</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top w:val="single" w:sz="8" w:space="0" w:color="000000"/>
            </w:tcBorders>
            <w:tcMar>
              <w:top w:w="28" w:type="dxa"/>
            </w:tcMar>
            <w:vAlign w:val="center"/>
          </w:tcPr>
          <w:p>
            <w:pPr>
              <w:pStyle w:val="TableContents"/>
              <w:bidi w:val="0"/>
              <w:spacing w:before="33" w:after="30"/>
              <w:ind w:left="240" w:right="0" w:hanging="0"/>
              <w:jc w:val="left"/>
              <w:rPr/>
            </w:pPr>
            <w:r>
              <w:rPr>
                <w:sz w:val="20"/>
              </w:rPr>
              <w:t>James M. Till</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vAlign w:val="center"/>
          </w:tcPr>
          <w:p>
            <w:pPr>
              <w:pStyle w:val="TableContents"/>
              <w:bidi w:val="0"/>
              <w:spacing w:before="53" w:after="30"/>
              <w:ind w:left="0" w:right="0" w:hanging="90"/>
              <w:jc w:val="left"/>
              <w:rPr/>
            </w:pPr>
            <w:r>
              <w:rPr>
                <w:sz w:val="20"/>
              </w:rPr>
              <w:t>Chief Financial Officer</w:t>
            </w:r>
            <w:r>
              <w:rPr/>
              <w:t xml:space="preserve"> </w:t>
            </w:r>
          </w:p>
        </w:tc>
      </w:tr>
    </w:tbl>
    <w:p>
      <w:pPr>
        <w:pStyle w:val="TextBody"/>
        <w:bidi w:val="0"/>
        <w:spacing w:lineRule="auto" w:line="336" w:before="0" w:after="0"/>
        <w:jc w:val="left"/>
        <w:rPr/>
      </w:pPr>
      <w:r>
        <w:rPr/>
        <w:t xml:space="preserve">  </w:t>
      </w:r>
    </w:p>
    <w:p>
      <w:pPr>
        <w:pStyle w:val="TextBody"/>
        <w:bidi w:val="0"/>
        <w:spacing w:lineRule="auto" w:line="336"/>
        <w:jc w:val="left"/>
        <w:rPr/>
      </w:pPr>
      <w:r>
        <w:rPr/>
        <w:t xml:space="preserve">  </w:t>
      </w:r>
    </w:p>
    <w:p>
      <w:pPr>
        <w:pStyle w:val="TextBody"/>
        <w:bidi w:val="0"/>
        <w:spacing w:lineRule="auto" w:line="336" w:before="0" w:after="0"/>
        <w:jc w:val="right"/>
        <w:rPr/>
      </w:pPr>
      <w:bookmarkStart w:id="23" w:name="ex32-1.htm"/>
      <w:bookmarkStart w:id="24" w:name="ksex321"/>
      <w:bookmarkEnd w:id="23"/>
      <w:bookmarkEnd w:id="24"/>
      <w:r>
        <w:rPr>
          <w:b/>
          <w:sz w:val="20"/>
        </w:rPr>
        <w:t>Exhibit 32.1</w:t>
      </w:r>
      <w:r>
        <w:rPr/>
        <w:t xml:space="preserve"> </w:t>
      </w:r>
      <w:r>
        <w:br w:type="page"/>
      </w:r>
    </w:p>
    <w:p>
      <w:pPr>
        <w:pStyle w:val="TextBody"/>
        <w:bidi w:val="0"/>
        <w:spacing w:lineRule="auto" w:line="336" w:before="0" w:after="0"/>
        <w:jc w:val="right"/>
        <w:rPr/>
      </w:pPr>
      <w:r>
        <w:rPr/>
        <w:t xml:space="preserve">  </w:t>
      </w:r>
    </w:p>
    <w:p>
      <w:pPr>
        <w:pStyle w:val="TextBody"/>
        <w:bidi w:val="0"/>
        <w:spacing w:lineRule="auto" w:line="336" w:before="0" w:after="0"/>
        <w:jc w:val="center"/>
        <w:rPr/>
      </w:pPr>
      <w:r>
        <w:rPr/>
        <w:t xml:space="preserve">  </w:t>
      </w:r>
    </w:p>
    <w:p>
      <w:pPr>
        <w:pStyle w:val="TextBody"/>
        <w:bidi w:val="0"/>
        <w:spacing w:lineRule="auto" w:line="336" w:before="0" w:after="0"/>
        <w:jc w:val="center"/>
        <w:rPr/>
      </w:pPr>
      <w:r>
        <w:rPr>
          <w:b/>
          <w:sz w:val="20"/>
        </w:rPr>
        <w:t>CERTIFICATION OF THE CHIEF EXECUTIVE OFFICER PURSUANT TO 18 U.S.C. SECTION 1350,</w:t>
      </w:r>
      <w:r>
        <w:rPr/>
        <w:t xml:space="preserve"> </w:t>
      </w:r>
    </w:p>
    <w:p>
      <w:pPr>
        <w:pStyle w:val="TextBody"/>
        <w:bidi w:val="0"/>
        <w:spacing w:lineRule="auto" w:line="336" w:before="0" w:after="0"/>
        <w:jc w:val="center"/>
        <w:rPr/>
      </w:pPr>
      <w:r>
        <w:rPr>
          <w:b/>
          <w:sz w:val="20"/>
        </w:rPr>
        <w:t>AS ADOPTED PURSUANT TO SECTION 906 OF THE SARBANES-OXLEY ACT OF 2002</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ind w:left="0" w:right="0" w:firstLine="720"/>
        <w:jc w:val="left"/>
        <w:rPr/>
      </w:pPr>
      <w:r>
        <w:rPr>
          <w:sz w:val="20"/>
        </w:rPr>
        <w:t>In connection with the quarterly report of Magnera Corporation (the “Registrant”) on Form 10-Q for the quarterly period ended December 27, 2025, as filed with the Securities and Exchange Commission on the date hereof (the “Report”), I, Curtis L. Begle, Chief Executive Officer of the Registrant, certify, pursuant to 18 U.S.C. Section 1350, as adopted pursuant to Section 906 of the Sarbanes-Oxley Act of 2002, that, to my knowledge:</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ind w:left="360" w:right="0" w:hanging="0"/>
        <w:jc w:val="left"/>
        <w:rPr>
          <w:sz w:val="20"/>
        </w:rPr>
      </w:pPr>
      <w:r>
        <w:rPr>
          <w:sz w:val="20"/>
        </w:rPr>
        <w:t xml:space="preserve">1) </w:t>
      </w:r>
    </w:p>
    <w:p>
      <w:pPr>
        <w:pStyle w:val="TextBody"/>
        <w:bidi w:val="0"/>
        <w:spacing w:lineRule="auto" w:line="336" w:before="0" w:after="0"/>
        <w:ind w:left="720" w:right="0" w:hanging="0"/>
        <w:jc w:val="left"/>
        <w:rPr>
          <w:sz w:val="20"/>
        </w:rPr>
      </w:pPr>
      <w:r>
        <w:rPr>
          <w:sz w:val="20"/>
        </w:rPr>
        <w:t xml:space="preserve">The Report fully complies with the requirements of section 13(a) or 15(d) of the Securities Exchange Act of 1934, as amended; and </w:t>
      </w:r>
    </w:p>
    <w:p>
      <w:pPr>
        <w:pStyle w:val="TextBody"/>
        <w:bidi w:val="0"/>
        <w:spacing w:lineRule="auto" w:line="336" w:before="0" w:after="0"/>
        <w:jc w:val="left"/>
        <w:rPr/>
      </w:pPr>
      <w:r>
        <w:rPr/>
        <w:t xml:space="preserve">  </w:t>
      </w:r>
    </w:p>
    <w:p>
      <w:pPr>
        <w:pStyle w:val="TextBody"/>
        <w:bidi w:val="0"/>
        <w:spacing w:lineRule="auto" w:line="336" w:before="0" w:after="0"/>
        <w:ind w:left="360" w:right="0" w:hanging="0"/>
        <w:jc w:val="left"/>
        <w:rPr>
          <w:sz w:val="20"/>
        </w:rPr>
      </w:pPr>
      <w:r>
        <w:rPr>
          <w:sz w:val="20"/>
        </w:rPr>
        <w:t xml:space="preserve">2) </w:t>
      </w:r>
    </w:p>
    <w:p>
      <w:pPr>
        <w:pStyle w:val="TextBody"/>
        <w:bidi w:val="0"/>
        <w:spacing w:lineRule="auto" w:line="336" w:before="0" w:after="0"/>
        <w:ind w:left="720" w:right="0" w:hanging="0"/>
        <w:jc w:val="left"/>
        <w:rPr>
          <w:sz w:val="20"/>
        </w:rPr>
      </w:pPr>
      <w:r>
        <w:rPr>
          <w:sz w:val="20"/>
        </w:rPr>
        <w:t xml:space="preserve">The information contained in the Report fairly presents, in all material respects, the financial condition and results of operations of the Registrant.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sz w:val="20"/>
        </w:rPr>
      </w:pPr>
      <w:r>
        <w:rPr>
          <w:sz w:val="20"/>
        </w:rPr>
        <w:t>Date: May 6, 2026</w:t>
      </w:r>
    </w:p>
    <w:tbl>
      <w:tblPr>
        <w:tblW w:w="2552" w:type="dxa"/>
        <w:jc w:val="left"/>
        <w:tblInd w:w="0" w:type="dxa"/>
        <w:tblLayout w:type="fixed"/>
        <w:tblCellMar>
          <w:top w:w="0" w:type="dxa"/>
          <w:left w:w="0" w:type="dxa"/>
          <w:bottom w:w="0" w:type="dxa"/>
          <w:right w:w="0" w:type="dxa"/>
        </w:tblCellMar>
      </w:tblPr>
      <w:tblGrid>
        <w:gridCol w:w="421"/>
        <w:gridCol w:w="2131"/>
      </w:tblGrid>
      <w:tr>
        <w:trPr/>
        <w:tc>
          <w:tcPr>
            <w:tcW w:w="421" w:type="dxa"/>
            <w:tcBorders/>
            <w:vAlign w:val="center"/>
          </w:tcPr>
          <w:p>
            <w:pPr>
              <w:pStyle w:val="TableContents"/>
              <w:bidi w:val="0"/>
              <w:spacing w:before="53" w:after="30"/>
              <w:jc w:val="left"/>
              <w:rPr/>
            </w:pPr>
            <w:r>
              <w:rPr>
                <w:color w:val="000000"/>
                <w:sz w:val="20"/>
              </w:rPr>
              <w:t>By</w:t>
            </w:r>
            <w:r>
              <w:rPr/>
              <w:t xml:space="preserve"> </w:t>
            </w:r>
          </w:p>
        </w:tc>
        <w:tc>
          <w:tcPr>
            <w:tcW w:w="2131" w:type="dxa"/>
            <w:tcBorders>
              <w:bottom w:val="single" w:sz="8" w:space="0" w:color="000000"/>
            </w:tcBorders>
            <w:tcMar>
              <w:bottom w:w="28" w:type="dxa"/>
            </w:tcMar>
            <w:vAlign w:val="center"/>
          </w:tcPr>
          <w:p>
            <w:pPr>
              <w:pStyle w:val="TableContents"/>
              <w:bidi w:val="0"/>
              <w:spacing w:before="53" w:after="30"/>
              <w:jc w:val="left"/>
              <w:rPr/>
            </w:pPr>
            <w:r>
              <w:rPr>
                <w:color w:val="000000"/>
                <w:sz w:val="20"/>
              </w:rPr>
              <w:t>/s/ Curtis L. Begle</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131" w:type="dxa"/>
            <w:tcBorders>
              <w:top w:val="single" w:sz="8" w:space="0" w:color="000000"/>
            </w:tcBorders>
            <w:tcMar>
              <w:top w:w="28" w:type="dxa"/>
            </w:tcMar>
            <w:vAlign w:val="center"/>
          </w:tcPr>
          <w:p>
            <w:pPr>
              <w:pStyle w:val="TableContents"/>
              <w:bidi w:val="0"/>
              <w:spacing w:before="33" w:after="30"/>
              <w:ind w:left="240" w:right="0" w:hanging="0"/>
              <w:jc w:val="left"/>
              <w:rPr/>
            </w:pPr>
            <w:r>
              <w:rPr>
                <w:sz w:val="20"/>
              </w:rPr>
              <w:t>Curtis L. Begle</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131" w:type="dxa"/>
            <w:tcBorders/>
            <w:vAlign w:val="center"/>
          </w:tcPr>
          <w:p>
            <w:pPr>
              <w:pStyle w:val="TableContents"/>
              <w:bidi w:val="0"/>
              <w:spacing w:before="53" w:after="30"/>
              <w:ind w:left="240" w:right="0" w:hanging="0"/>
              <w:jc w:val="left"/>
              <w:rPr/>
            </w:pPr>
            <w:r>
              <w:rPr>
                <w:color w:val="000000"/>
                <w:sz w:val="20"/>
              </w:rPr>
              <w:t>Chief Executive Officer</w:t>
            </w:r>
            <w:r>
              <w:rPr/>
              <w:t xml:space="preserve"> </w:t>
            </w:r>
          </w:p>
        </w:tc>
      </w:tr>
    </w:tbl>
    <w:p>
      <w:pPr>
        <w:pStyle w:val="TextBody"/>
        <w:bidi w:val="0"/>
        <w:spacing w:lineRule="auto" w:line="336"/>
        <w:jc w:val="left"/>
        <w:rPr/>
      </w:pPr>
      <w:r>
        <w:rPr/>
        <w:t xml:space="preserve">  </w:t>
      </w:r>
    </w:p>
    <w:p>
      <w:pPr>
        <w:pStyle w:val="TextBody"/>
        <w:bidi w:val="0"/>
        <w:spacing w:lineRule="auto" w:line="336" w:before="0" w:after="0"/>
        <w:jc w:val="right"/>
        <w:rPr/>
      </w:pPr>
      <w:bookmarkStart w:id="25" w:name="ex32-2.htm"/>
      <w:bookmarkStart w:id="26" w:name="ksex322"/>
      <w:bookmarkEnd w:id="25"/>
      <w:bookmarkEnd w:id="26"/>
      <w:r>
        <w:rPr>
          <w:b/>
          <w:sz w:val="20"/>
        </w:rPr>
        <w:t>Exhibit 32.2</w:t>
      </w:r>
      <w:r>
        <w:rPr/>
        <w:t xml:space="preserve"> </w:t>
      </w:r>
      <w:r>
        <w:br w:type="page"/>
      </w:r>
    </w:p>
    <w:p>
      <w:pPr>
        <w:pStyle w:val="TextBody"/>
        <w:bidi w:val="0"/>
        <w:spacing w:lineRule="auto" w:line="336" w:before="0" w:after="0"/>
        <w:jc w:val="right"/>
        <w:rPr/>
      </w:pPr>
      <w:r>
        <w:rPr/>
        <w:t xml:space="preserve">  </w:t>
      </w:r>
    </w:p>
    <w:p>
      <w:pPr>
        <w:pStyle w:val="TextBody"/>
        <w:bidi w:val="0"/>
        <w:spacing w:lineRule="auto" w:line="336" w:before="0" w:after="0"/>
        <w:jc w:val="center"/>
        <w:rPr/>
      </w:pPr>
      <w:r>
        <w:rPr/>
        <w:t xml:space="preserve">  </w:t>
      </w:r>
    </w:p>
    <w:p>
      <w:pPr>
        <w:pStyle w:val="TextBody"/>
        <w:bidi w:val="0"/>
        <w:spacing w:lineRule="auto" w:line="336" w:before="0" w:after="0"/>
        <w:jc w:val="center"/>
        <w:rPr/>
      </w:pPr>
      <w:r>
        <w:rPr>
          <w:b/>
          <w:sz w:val="20"/>
        </w:rPr>
        <w:t>CERTIFICATION OF THE CHIEF FINANCIAL OFFICER PURSUANT TO 18 U.S.C. SECTION 1350,</w:t>
      </w:r>
      <w:r>
        <w:rPr/>
        <w:t xml:space="preserve"> </w:t>
      </w:r>
    </w:p>
    <w:p>
      <w:pPr>
        <w:pStyle w:val="TextBody"/>
        <w:bidi w:val="0"/>
        <w:spacing w:lineRule="auto" w:line="336" w:before="0" w:after="0"/>
        <w:jc w:val="center"/>
        <w:rPr/>
      </w:pPr>
      <w:r>
        <w:rPr>
          <w:b/>
          <w:sz w:val="20"/>
        </w:rPr>
        <w:t>AS ADOPTED PURSUANT TO SECTION 906 OF THE SARBANES-OXLEY ACT OF 2002</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ind w:left="0" w:right="0" w:firstLine="720"/>
        <w:jc w:val="left"/>
        <w:rPr/>
      </w:pPr>
      <w:r>
        <w:rPr>
          <w:sz w:val="20"/>
        </w:rPr>
        <w:t>In connection with the quarterly report of Magnera Corporation (the “Registrant”) on Form 10-Q for the quarterly period ended December 27, 2025, as filed with the Securities and Exchange Commission on the date hereof (the “Report”), I, James M. Till, Chief Financial Officer of the Registrant, certify, pursuant to 18 U.S.C. Section 1350, as adopted pursuant to Section 906 of the Sarbanes-Oxley Act of 2002, that, to my knowledge:</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ind w:left="360" w:right="0" w:hanging="0"/>
        <w:jc w:val="left"/>
        <w:rPr>
          <w:sz w:val="20"/>
        </w:rPr>
      </w:pPr>
      <w:r>
        <w:rPr>
          <w:sz w:val="20"/>
        </w:rPr>
        <w:t xml:space="preserve">1) </w:t>
      </w:r>
    </w:p>
    <w:p>
      <w:pPr>
        <w:pStyle w:val="TextBody"/>
        <w:bidi w:val="0"/>
        <w:spacing w:lineRule="auto" w:line="336" w:before="0" w:after="0"/>
        <w:ind w:left="720" w:right="0" w:hanging="0"/>
        <w:jc w:val="left"/>
        <w:rPr>
          <w:sz w:val="20"/>
        </w:rPr>
      </w:pPr>
      <w:r>
        <w:rPr>
          <w:sz w:val="20"/>
        </w:rPr>
        <w:t xml:space="preserve">The Report fully complies with the requirements of section 13(a) or 15(d) of the Securities Exchange Act of 1934, as amended; and </w:t>
      </w:r>
    </w:p>
    <w:p>
      <w:pPr>
        <w:pStyle w:val="TextBody"/>
        <w:bidi w:val="0"/>
        <w:spacing w:lineRule="auto" w:line="336" w:before="0" w:after="0"/>
        <w:jc w:val="left"/>
        <w:rPr/>
      </w:pPr>
      <w:r>
        <w:rPr/>
        <w:t xml:space="preserve">  </w:t>
      </w:r>
    </w:p>
    <w:p>
      <w:pPr>
        <w:pStyle w:val="TextBody"/>
        <w:bidi w:val="0"/>
        <w:spacing w:lineRule="auto" w:line="336" w:before="0" w:after="0"/>
        <w:ind w:left="360" w:right="0" w:hanging="0"/>
        <w:jc w:val="left"/>
        <w:rPr>
          <w:sz w:val="20"/>
        </w:rPr>
      </w:pPr>
      <w:r>
        <w:rPr>
          <w:sz w:val="20"/>
        </w:rPr>
        <w:t xml:space="preserve">2) </w:t>
      </w:r>
    </w:p>
    <w:p>
      <w:pPr>
        <w:pStyle w:val="TextBody"/>
        <w:bidi w:val="0"/>
        <w:spacing w:lineRule="auto" w:line="336" w:before="0" w:after="0"/>
        <w:ind w:left="720" w:right="0" w:hanging="0"/>
        <w:jc w:val="left"/>
        <w:rPr>
          <w:sz w:val="20"/>
        </w:rPr>
      </w:pPr>
      <w:r>
        <w:rPr>
          <w:sz w:val="20"/>
        </w:rPr>
        <w:t xml:space="preserve">The information contained in the Report fairly presents, in all material respects, the financial condition and results of operations of the Registrant.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sz w:val="20"/>
        </w:rPr>
      </w:pPr>
      <w:r>
        <w:rPr>
          <w:sz w:val="20"/>
        </w:rPr>
        <w:t>Date: May 6, 2026</w:t>
      </w:r>
    </w:p>
    <w:tbl>
      <w:tblPr>
        <w:tblW w:w="2492" w:type="dxa"/>
        <w:jc w:val="left"/>
        <w:tblInd w:w="0" w:type="dxa"/>
        <w:tblLayout w:type="fixed"/>
        <w:tblCellMar>
          <w:top w:w="0" w:type="dxa"/>
          <w:left w:w="0" w:type="dxa"/>
          <w:bottom w:w="0" w:type="dxa"/>
          <w:right w:w="0" w:type="dxa"/>
        </w:tblCellMar>
      </w:tblPr>
      <w:tblGrid>
        <w:gridCol w:w="421"/>
        <w:gridCol w:w="2071"/>
      </w:tblGrid>
      <w:tr>
        <w:trPr/>
        <w:tc>
          <w:tcPr>
            <w:tcW w:w="421" w:type="dxa"/>
            <w:tcBorders/>
            <w:vAlign w:val="center"/>
          </w:tcPr>
          <w:p>
            <w:pPr>
              <w:pStyle w:val="TableContents"/>
              <w:bidi w:val="0"/>
              <w:spacing w:before="53" w:after="30"/>
              <w:jc w:val="left"/>
              <w:rPr/>
            </w:pPr>
            <w:r>
              <w:rPr>
                <w:color w:val="000000"/>
                <w:sz w:val="20"/>
              </w:rPr>
              <w:t>By</w:t>
            </w:r>
            <w:r>
              <w:rPr/>
              <w:t xml:space="preserve"> </w:t>
            </w:r>
          </w:p>
        </w:tc>
        <w:tc>
          <w:tcPr>
            <w:tcW w:w="2071" w:type="dxa"/>
            <w:tcBorders>
              <w:bottom w:val="single" w:sz="8" w:space="0" w:color="000000"/>
            </w:tcBorders>
            <w:tcMar>
              <w:bottom w:w="28" w:type="dxa"/>
            </w:tcMar>
            <w:vAlign w:val="center"/>
          </w:tcPr>
          <w:p>
            <w:pPr>
              <w:pStyle w:val="TableContents"/>
              <w:bidi w:val="0"/>
              <w:spacing w:before="53" w:after="30"/>
              <w:jc w:val="left"/>
              <w:rPr/>
            </w:pPr>
            <w:r>
              <w:rPr>
                <w:sz w:val="20"/>
              </w:rPr>
              <w:t>/s/ James M. Till</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top w:val="single" w:sz="8" w:space="0" w:color="000000"/>
            </w:tcBorders>
            <w:tcMar>
              <w:top w:w="28" w:type="dxa"/>
            </w:tcMar>
            <w:vAlign w:val="center"/>
          </w:tcPr>
          <w:p>
            <w:pPr>
              <w:pStyle w:val="TableContents"/>
              <w:bidi w:val="0"/>
              <w:spacing w:before="33" w:after="30"/>
              <w:ind w:left="240" w:right="0" w:hanging="0"/>
              <w:jc w:val="left"/>
              <w:rPr/>
            </w:pPr>
            <w:r>
              <w:rPr>
                <w:sz w:val="20"/>
              </w:rPr>
              <w:t>James M. Till</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vAlign w:val="center"/>
          </w:tcPr>
          <w:p>
            <w:pPr>
              <w:pStyle w:val="TableContents"/>
              <w:bidi w:val="0"/>
              <w:spacing w:before="53" w:after="30"/>
              <w:ind w:left="0" w:right="0" w:hanging="90"/>
              <w:jc w:val="left"/>
              <w:rPr/>
            </w:pPr>
            <w:r>
              <w:rPr>
                <w:sz w:val="20"/>
              </w:rPr>
              <w:t>Chief Financial Officer</w:t>
            </w:r>
            <w:r>
              <w:rPr/>
              <w:t xml:space="preserve"> </w:t>
            </w:r>
          </w:p>
        </w:tc>
      </w:tr>
    </w:tbl>
    <w:p>
      <w:pPr>
        <w:pStyle w:val="TextBody"/>
        <w:bidi w:val="0"/>
        <w:spacing w:lineRule="auto" w:line="336"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Tenorite">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9459</Words>
  <Characters>51549</Characters>
  <CharactersWithSpaces>62777</CharactersWithSpaces>
  <Paragraphs>4106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