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Magnera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Cetus Capital VI,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2,242,705.00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2,242,705.00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2,242,705.00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Based on 35.8 million shares of the Issuer's common stock outstanding as of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 2026, as reported in the Issuer's Quarterly Report on Form 10-Q filed by the Issuer on May 7,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Magnera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9335 Harris Corners Pkwy, Ste 300, Charlotte, NC, 28269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60" w:right="140" w:hanging="912"/>
        <w:spacing w:after="0" w:line="244"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entity listed below, which is referred to herein as the "Reporting Person". Cetus Capital VI, L.P., a Delaware limited partnership, whose general partner is Littlejohn Associates VI, L.P., a Delaware limited partnership.</w:t>
      </w:r>
    </w:p>
    <w:p>
      <w:pPr>
        <w:sectPr>
          <w:pgSz w:w="11900" w:h="16838" w:orient="portrait"/>
          <w:cols w:equalWidth="0" w:num="1">
            <w:col w:w="11200"/>
          </w:cols>
          <w:pgMar w:left="320" w:top="111" w:right="379" w:bottom="0" w:gutter="0" w:footer="0" w:header="0"/>
          <w:type w:val="continuous"/>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the Reporting Person is 8 Sound Shore Drive, Suite 303,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60" w:space="300"/>
            <w:col w:w="10240"/>
          </w:cols>
          <w:pgMar w:left="320" w:top="111" w:right="37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of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each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Item 5 of each cover page.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of each cover page.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Cetus Capital VI, L.P.</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5660" w:hanging="1079"/>
        <w:spacing w:after="0" w:line="256" w:lineRule="auto"/>
        <w:tabs>
          <w:tab w:leader="none" w:pos="5640" w:val="left"/>
        </w:tabs>
        <w:rPr>
          <w:sz w:val="20"/>
          <w:szCs w:val="20"/>
          <w:color w:val="auto"/>
        </w:rPr>
      </w:pPr>
      <w:r>
        <w:rPr>
          <w:rFonts w:ascii="Times New Roman" w:cs="Times New Roman" w:eastAsia="Times New Roman" w:hAnsi="Times New Roman"/>
          <w:sz w:val="22"/>
          <w:szCs w:val="22"/>
          <w:color w:val="auto"/>
        </w:rPr>
        <w:t>Signature:</w:t>
        <w:tab/>
        <w:t>By: Littlejohn Associates VI, L.P., its general partner</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Robert E. Davis, Manager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580"/>
      </w:cols>
      <w:pgMar w:left="1440" w:top="11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2026-05-12T05:20:50Z</dcterms:created>
  <dcterms:modified xsi:type="dcterms:W3CDTF">2026-05-12T05:20:50Z</dcterms:modified>
</cp:coreProperties>
</file>