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Magnera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07/28/2026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Cetus Capital VI,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1,561,199.00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1,561,199.00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1,561,199.00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Based on 35.8 million shares of the Issuer's common stock outstanding as of May 7, 2026, as reported in the Issuer's Quarterly Report on Form 10-Q filed by the Issuer on May 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51"/>
        <w:gridCol w:w="8999"/>
        <w:gridCol w:w="155"/>
      </w:tblGrid>
      <w:tr>
        <w:trPr/>
        <w:tc>
          <w:tcPr>
            <w:tcW w:w="1051" w:type="dxa"/>
            <w:tcBorders/>
            <w:vAlign w:val="center"/>
          </w:tcPr>
          <w:p>
            <w:pPr>
              <w:pStyle w:val="TableContents"/>
              <w:bidi w:val="0"/>
              <w:spacing w:before="0" w:after="283"/>
              <w:jc w:val="left"/>
              <w:rPr/>
            </w:pPr>
            <w:r>
              <w:rPr/>
              <w:t>Item 1.</w:t>
            </w:r>
          </w:p>
        </w:tc>
        <w:tc>
          <w:tcPr>
            <w:tcW w:w="89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(a)</w:t>
            </w:r>
          </w:p>
        </w:tc>
        <w:tc>
          <w:tcPr>
            <w:tcW w:w="8999" w:type="dxa"/>
            <w:tcBorders/>
            <w:vAlign w:val="center"/>
          </w:tcPr>
          <w:p>
            <w:pPr>
              <w:pStyle w:val="TableContents"/>
              <w:bidi w:val="0"/>
              <w:jc w:val="left"/>
              <w:rPr/>
            </w:pPr>
            <w:r>
              <w:rPr/>
              <w:t xml:space="preserve">Name of issuer: </w:t>
            </w:r>
          </w:p>
          <w:p>
            <w:pPr>
              <w:pStyle w:val="TableContents"/>
              <w:bidi w:val="0"/>
              <w:spacing w:before="0" w:after="0"/>
              <w:jc w:val="left"/>
              <w:rPr/>
            </w:pPr>
            <w:r>
              <w:rPr/>
              <w:t>Magnera Corp</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(b)</w:t>
            </w:r>
          </w:p>
        </w:tc>
        <w:tc>
          <w:tcPr>
            <w:tcW w:w="89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9335 Harris Corners Pkwy, Ste 300, Charlotte, NC, 28269</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2.</w:t>
            </w:r>
          </w:p>
        </w:tc>
        <w:tc>
          <w:tcPr>
            <w:tcW w:w="89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(a)</w:t>
            </w:r>
          </w:p>
        </w:tc>
        <w:tc>
          <w:tcPr>
            <w:tcW w:w="89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entity listed below, which is referred to herein as the "Reporting Person". Cetus Capital VI, L.P., a Delaware limited partnership, whose general partner is Littlejohn Associates VI, L.P., a 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(b)</w:t>
            </w:r>
          </w:p>
        </w:tc>
        <w:tc>
          <w:tcPr>
            <w:tcW w:w="89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the Reporting Person is 8 Sound Shore Drive, Suite 303,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(c)</w:t>
            </w:r>
          </w:p>
        </w:tc>
        <w:tc>
          <w:tcPr>
            <w:tcW w:w="899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(d)</w:t>
            </w:r>
          </w:p>
        </w:tc>
        <w:tc>
          <w:tcPr>
            <w:tcW w:w="89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(e)</w:t>
            </w:r>
          </w:p>
        </w:tc>
        <w:tc>
          <w:tcPr>
            <w:tcW w:w="899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3.</w:t>
            </w:r>
          </w:p>
        </w:tc>
        <w:tc>
          <w:tcPr>
            <w:tcW w:w="89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(a)</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(b)</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(c)</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(d)</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(e)</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(f)</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(g)</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(h)</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(j)</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(k)</w:t>
            </w:r>
          </w:p>
        </w:tc>
        <w:tc>
          <w:tcPr>
            <w:tcW w:w="899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9154" w:type="dxa"/>
            <w:gridSpan w:val="2"/>
            <w:tcBorders/>
            <w:vAlign w:val="center"/>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4.</w:t>
            </w:r>
          </w:p>
        </w:tc>
        <w:tc>
          <w:tcPr>
            <w:tcW w:w="89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(a)</w:t>
            </w:r>
          </w:p>
        </w:tc>
        <w:tc>
          <w:tcPr>
            <w:tcW w:w="89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(b)</w:t>
            </w:r>
          </w:p>
        </w:tc>
        <w:tc>
          <w:tcPr>
            <w:tcW w:w="89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each cover page.  %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(c)</w:t>
            </w:r>
          </w:p>
        </w:tc>
        <w:tc>
          <w:tcPr>
            <w:tcW w:w="89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5.</w:t>
            </w:r>
          </w:p>
        </w:tc>
        <w:tc>
          <w:tcPr>
            <w:tcW w:w="89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6.</w:t>
            </w:r>
          </w:p>
        </w:tc>
        <w:tc>
          <w:tcPr>
            <w:tcW w:w="89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7.</w:t>
            </w:r>
          </w:p>
        </w:tc>
        <w:tc>
          <w:tcPr>
            <w:tcW w:w="89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8.</w:t>
            </w:r>
          </w:p>
        </w:tc>
        <w:tc>
          <w:tcPr>
            <w:tcW w:w="89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Item 9.</w:t>
            </w:r>
          </w:p>
        </w:tc>
        <w:tc>
          <w:tcPr>
            <w:tcW w:w="89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51" w:type="dxa"/>
            <w:tcBorders/>
            <w:vAlign w:val="center"/>
          </w:tcPr>
          <w:p>
            <w:pPr>
              <w:pStyle w:val="TableContents"/>
              <w:bidi w:val="0"/>
              <w:spacing w:before="0" w:after="283"/>
              <w:jc w:val="left"/>
              <w:rPr/>
            </w:pPr>
            <w:r>
              <w:rPr/>
              <w:t> </w:t>
            </w:r>
          </w:p>
        </w:tc>
        <w:tc>
          <w:tcPr>
            <w:tcW w:w="89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Cetus Capital VI, L.P.</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3"/>
        <w:gridCol w:w="4322"/>
      </w:tblGrid>
      <w:tr>
        <w:trPr/>
        <w:tc>
          <w:tcPr>
            <w:tcW w:w="58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By: Littlejohn Associates VI, L.P., its general partner</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Robert E. Davis,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854</Words>
  <Characters>4288</Characters>
  <CharactersWithSpaces>5137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