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3"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64135</wp:posOffset>
            </wp:positionV>
            <wp:extent cx="1371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9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81915</wp:posOffset>
            </wp:positionV>
            <wp:extent cx="13716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8890"/>
                    </a:xfrm>
                    <a:prstGeom prst="rect">
                      <a:avLst/>
                    </a:prstGeom>
                    <a:noFill/>
                  </pic:spPr>
                </pic:pic>
              </a:graphicData>
            </a:graphic>
          </wp:anchor>
        </w:drawing>
      </w:r>
    </w:p>
    <w:p>
      <w:pPr>
        <w:spacing w:after="0" w:line="236" w:lineRule="exact"/>
        <w:rPr>
          <w:sz w:val="24"/>
          <w:szCs w:val="24"/>
          <w:color w:val="auto"/>
        </w:rPr>
      </w:pPr>
    </w:p>
    <w:p>
      <w:pPr>
        <w:ind w:left="500" w:hanging="474"/>
        <w:spacing w:after="0"/>
        <w:tabs>
          <w:tab w:leader="none" w:pos="5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2025</w:t>
      </w:r>
    </w:p>
    <w:p>
      <w:pPr>
        <w:spacing w:after="0" w:line="3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or</w:t>
      </w:r>
    </w:p>
    <w:p>
      <w:pPr>
        <w:spacing w:after="0" w:line="28" w:lineRule="exact"/>
        <w:rPr>
          <w:sz w:val="24"/>
          <w:szCs w:val="24"/>
          <w:color w:val="auto"/>
        </w:rPr>
      </w:pPr>
    </w:p>
    <w:p>
      <w:pPr>
        <w:ind w:left="4360" w:right="3820" w:hanging="4334"/>
        <w:spacing w:after="0" w:line="418" w:lineRule="auto"/>
        <w:tabs>
          <w:tab w:leader="none" w:pos="495"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-71755</wp:posOffset>
            </wp:positionV>
            <wp:extent cx="1371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13335</wp:posOffset>
            </wp:positionV>
            <wp:extent cx="1911350" cy="488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1350" cy="488950"/>
                    </a:xfrm>
                    <a:prstGeom prst="rect">
                      <a:avLst/>
                    </a:prstGeom>
                    <a:noFill/>
                  </pic:spPr>
                </pic:pic>
              </a:graphicData>
            </a:graphic>
          </wp:anchor>
        </w:drawing>
        <w:drawing>
          <wp:anchor simplePos="0" relativeHeight="251657728" behindDoc="1" locked="0" layoutInCell="0" allowOverlap="1">
            <wp:simplePos x="0" y="0"/>
            <wp:positionH relativeFrom="column">
              <wp:posOffset>2885440</wp:posOffset>
            </wp:positionH>
            <wp:positionV relativeFrom="paragraph">
              <wp:posOffset>613410</wp:posOffset>
            </wp:positionV>
            <wp:extent cx="13716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9335 Harris Corners Pkwy, Suite 300</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Charlotte, North Carolina 28269</w:t>
      </w:r>
    </w:p>
    <w:p>
      <w:pPr>
        <w:spacing w:after="0" w:line="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8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(866) 744-7380</w:t>
      </w:r>
    </w:p>
    <w:p>
      <w:pPr>
        <w:spacing w:after="0" w:line="1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53" w:lineRule="exact"/>
        <w:rPr>
          <w:sz w:val="24"/>
          <w:szCs w:val="24"/>
          <w:color w:val="auto"/>
        </w:rPr>
      </w:pPr>
    </w:p>
    <w:tbl>
      <w:tblPr>
        <w:tblLayout w:type="fixed"/>
        <w:tblInd w:w="100" w:type="dxa"/>
        <w:tblCellMar>
          <w:top w:w="0" w:type="dxa"/>
          <w:left w:w="0" w:type="dxa"/>
          <w:bottom w:w="0" w:type="dxa"/>
          <w:right w:w="0" w:type="dxa"/>
        </w:tblCellMar>
      </w:tblPr>
      <w:tr>
        <w:trPr>
          <w:trHeight w:val="162"/>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Commission file</w:t>
            </w:r>
          </w:p>
        </w:tc>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Exact name of registrant as</w:t>
            </w:r>
          </w:p>
        </w:tc>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IRS Employer</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State or other jurisdiction of</w:t>
            </w:r>
          </w:p>
        </w:tc>
      </w:tr>
      <w:tr>
        <w:trPr>
          <w:trHeight w:val="188"/>
        </w:trPr>
        <w:tc>
          <w:tcPr>
            <w:tcW w:w="2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number</w:t>
            </w:r>
          </w:p>
        </w:tc>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specified in its charter</w:t>
            </w:r>
          </w:p>
        </w:tc>
        <w:tc>
          <w:tcPr>
            <w:tcW w:w="2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Identification No.</w:t>
            </w:r>
          </w:p>
        </w:tc>
        <w:tc>
          <w:tcPr>
            <w:tcW w:w="2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r>
      <w:tr>
        <w:trPr>
          <w:trHeight w:val="37"/>
        </w:trPr>
        <w:tc>
          <w:tcPr>
            <w:tcW w:w="2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960" w:type="dxa"/>
            <w:vAlign w:val="bottom"/>
            <w:tcBorders>
              <w:bottom w:val="single" w:sz="8" w:color="auto"/>
            </w:tcBorders>
          </w:tcPr>
          <w:p>
            <w:pPr>
              <w:spacing w:after="0"/>
              <w:rPr>
                <w:sz w:val="3"/>
                <w:szCs w:val="3"/>
                <w:color w:val="auto"/>
              </w:rPr>
            </w:pPr>
          </w:p>
        </w:tc>
      </w:tr>
      <w:tr>
        <w:trPr>
          <w:trHeight w:val="237"/>
        </w:trPr>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1-03560</w:t>
            </w:r>
          </w:p>
        </w:tc>
        <w:tc>
          <w:tcPr>
            <w:tcW w:w="120" w:type="dxa"/>
            <w:vAlign w:val="bottom"/>
          </w:tcPr>
          <w:p>
            <w:pPr>
              <w:spacing w:after="0"/>
              <w:rPr>
                <w:sz w:val="20"/>
                <w:szCs w:val="20"/>
                <w:color w:val="auto"/>
              </w:rPr>
            </w:pPr>
          </w:p>
        </w:tc>
        <w:tc>
          <w:tcPr>
            <w:tcW w:w="29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Magnera Corporation</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23-0628360</w:t>
            </w:r>
          </w:p>
        </w:tc>
        <w:tc>
          <w:tcPr>
            <w:tcW w:w="12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r>
    </w:tbl>
    <w:p>
      <w:pPr>
        <w:spacing w:after="0" w:line="72"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color w:val="auto"/>
        </w:rPr>
        <w:t>Glatfelter Corporation</w:t>
      </w:r>
    </w:p>
    <w:p>
      <w:pPr>
        <w:spacing w:after="0" w:line="4"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4"/>
          <w:szCs w:val="14"/>
          <w:color w:val="auto"/>
        </w:rPr>
        <w:t>4350 Congress Street, Suite 600</w:t>
      </w:r>
    </w:p>
    <w:p>
      <w:pPr>
        <w:spacing w:after="0" w:line="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4"/>
          <w:szCs w:val="14"/>
          <w:color w:val="auto"/>
        </w:rPr>
        <w:t>Charlotte, North Carolina 28209</w:t>
      </w:r>
    </w:p>
    <w:p>
      <w:pPr>
        <w:spacing w:after="0" w:line="9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1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3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46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
        </w:trPr>
        <w:tc>
          <w:tcPr>
            <w:tcW w:w="3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80" w:type="dxa"/>
            <w:vAlign w:val="bottom"/>
            <w:tcBorders>
              <w:bottom w:val="single" w:sz="8" w:color="auto"/>
            </w:tcBorders>
          </w:tcPr>
          <w:p>
            <w:pPr>
              <w:spacing w:after="0"/>
              <w:rPr>
                <w:sz w:val="2"/>
                <w:szCs w:val="2"/>
                <w:color w:val="auto"/>
              </w:rPr>
            </w:pPr>
          </w:p>
        </w:tc>
      </w:tr>
      <w:tr>
        <w:trPr>
          <w:trHeight w:val="237"/>
        </w:trPr>
        <w:tc>
          <w:tcPr>
            <w:tcW w:w="3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Common Stock</w:t>
            </w:r>
          </w:p>
        </w:tc>
        <w:tc>
          <w:tcPr>
            <w:tcW w:w="3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MAGN</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bl>
    <w:p>
      <w:pPr>
        <w:spacing w:after="0" w:line="333" w:lineRule="exact"/>
        <w:rPr>
          <w:sz w:val="24"/>
          <w:szCs w:val="24"/>
          <w:color w:val="auto"/>
        </w:rPr>
      </w:pPr>
    </w:p>
    <w:p>
      <w:pPr>
        <w:ind w:right="180"/>
        <w:spacing w:after="0" w:line="18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 w:lineRule="exact"/>
        <w:rPr>
          <w:sz w:val="24"/>
          <w:szCs w:val="24"/>
          <w:color w:val="auto"/>
        </w:rPr>
      </w:pPr>
    </w:p>
    <w:p>
      <w:pPr>
        <w:spacing w:after="0" w:line="18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2" w:lineRule="exact"/>
        <w:rPr>
          <w:sz w:val="24"/>
          <w:szCs w:val="24"/>
          <w:color w:val="auto"/>
        </w:rPr>
      </w:pPr>
    </w:p>
    <w:p>
      <w:pPr>
        <w:jc w:val="both"/>
        <w:ind w:right="560"/>
        <w:spacing w:after="0" w:line="218"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 reporting company or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2"/>
        </w:trPr>
        <w:tc>
          <w:tcPr>
            <w:tcW w:w="16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800" w:type="dxa"/>
            <w:vAlign w:val="bottom"/>
          </w:tcPr>
          <w:p>
            <w:pPr>
              <w:ind w:left="3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Accelerated filer</w:t>
            </w:r>
          </w:p>
        </w:tc>
        <w:tc>
          <w:tcPr>
            <w:tcW w:w="2060" w:type="dxa"/>
            <w:vAlign w:val="bottom"/>
          </w:tcPr>
          <w:p>
            <w:pPr>
              <w:ind w:left="3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w:t>
            </w:r>
          </w:p>
        </w:tc>
        <w:tc>
          <w:tcPr>
            <w:tcW w:w="2420" w:type="dxa"/>
            <w:vAlign w:val="bottom"/>
          </w:tcPr>
          <w:p>
            <w:pPr>
              <w:ind w:left="30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w:t>
            </w:r>
          </w:p>
        </w:tc>
        <w:tc>
          <w:tcPr>
            <w:tcW w:w="2640" w:type="dxa"/>
            <w:vAlign w:val="bottom"/>
          </w:tcPr>
          <w:p>
            <w:pPr>
              <w:ind w:left="3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w:t>
            </w:r>
          </w:p>
        </w:tc>
        <w:tc>
          <w:tcPr>
            <w:tcW w:w="340" w:type="dxa"/>
            <w:vAlign w:val="bottom"/>
          </w:tcPr>
          <w:p>
            <w:pPr>
              <w:jc w:val="center"/>
              <w:ind w:left="79"/>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298"/>
        </w:trPr>
        <w:tc>
          <w:tcPr>
            <w:tcW w:w="10580" w:type="dxa"/>
            <w:vAlign w:val="bottom"/>
            <w:gridSpan w:val="5"/>
          </w:tcPr>
          <w:p>
            <w:pPr>
              <w:ind w:left="260"/>
              <w:spacing w:after="0"/>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w:t>
            </w:r>
          </w:p>
        </w:tc>
        <w:tc>
          <w:tcPr>
            <w:tcW w:w="340" w:type="dxa"/>
            <w:vAlign w:val="bottom"/>
            <w:vMerge w:val="restart"/>
          </w:tcPr>
          <w:p>
            <w:pPr>
              <w:jc w:val="center"/>
              <w:ind w:left="99"/>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58"/>
        </w:trPr>
        <w:tc>
          <w:tcPr>
            <w:tcW w:w="1660" w:type="dxa"/>
            <w:vAlign w:val="bottom"/>
          </w:tcPr>
          <w:p>
            <w:pPr>
              <w:spacing w:after="0"/>
              <w:rPr>
                <w:sz w:val="22"/>
                <w:szCs w:val="22"/>
                <w:color w:val="auto"/>
              </w:rPr>
            </w:pPr>
          </w:p>
        </w:tc>
        <w:tc>
          <w:tcPr>
            <w:tcW w:w="8920" w:type="dxa"/>
            <w:vAlign w:val="bottom"/>
            <w:gridSpan w:val="4"/>
          </w:tcPr>
          <w:p>
            <w:pPr>
              <w:ind w:left="500"/>
              <w:spacing w:after="0"/>
              <w:rPr>
                <w:sz w:val="20"/>
                <w:szCs w:val="20"/>
                <w:color w:val="auto"/>
              </w:rPr>
            </w:pPr>
            <w:r>
              <w:rPr>
                <w:rFonts w:ascii="Times New Roman" w:cs="Times New Roman" w:eastAsia="Times New Roman" w:hAnsi="Times New Roman"/>
                <w:sz w:val="16"/>
                <w:szCs w:val="16"/>
                <w:color w:val="auto"/>
              </w:rPr>
              <w:t>revised financial accounting standards provided pursuant to Section 13(a) of the Exchange Act. </w:t>
            </w:r>
          </w:p>
        </w:tc>
        <w:tc>
          <w:tcPr>
            <w:tcW w:w="3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3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Common Stock outstanding on May 7, 2025 totaled 35.6 million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6875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751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wp:posOffset>
            </wp:positionV>
            <wp:extent cx="68751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75145" cy="8890"/>
                    </a:xfrm>
                    <a:prstGeom prst="rect">
                      <a:avLst/>
                    </a:prstGeom>
                    <a:noFill/>
                  </pic:spPr>
                </pic:pic>
              </a:graphicData>
            </a:graphic>
          </wp:anchor>
        </w:drawing>
      </w:r>
    </w:p>
    <w:p>
      <w:pPr>
        <w:sectPr>
          <w:pgSz w:w="11900" w:h="16838" w:orient="portrait"/>
          <w:cols w:equalWidth="0" w:num="1">
            <w:col w:w="11120"/>
          </w:cols>
          <w:pgMar w:left="320" w:top="1283" w:right="459" w:bottom="1440" w:gutter="0" w:footer="0" w:header="0"/>
        </w:sectPr>
      </w:pPr>
    </w:p>
    <w:bookmarkStart w:id="1" w:name="page2"/>
    <w:bookmarkEnd w:id="1"/>
    <w:p>
      <w:pPr>
        <w:ind w:left="2580"/>
        <w:spacing w:after="0"/>
        <w:rPr>
          <w:sz w:val="20"/>
          <w:szCs w:val="20"/>
          <w:color w:val="auto"/>
        </w:rPr>
      </w:pPr>
      <w:r>
        <w:rPr>
          <w:rFonts w:ascii="Times New Roman" w:cs="Times New Roman" w:eastAsia="Times New Roman" w:hAnsi="Times New Roman"/>
          <w:sz w:val="18"/>
          <w:szCs w:val="18"/>
          <w:color w:val="auto"/>
        </w:rPr>
        <w:t>CAUTIONARY STATEMENT CONCERNING FORWARD-LOOKING STATEMENTS</w:t>
      </w:r>
    </w:p>
    <w:p>
      <w:pPr>
        <w:spacing w:after="0" w:line="239"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color w:val="auto"/>
        </w:rPr>
        <w:t>Information included or incorporated by reference in Magnera Corporation’s filings with the U.S. Securities and Exchange Commission (the “SEC”) and press releases or other public statements contains or may contain “forward-looking” statements within the meaning of the federal securities laws and are presented pursuant to the safe harbor provisions of the Private Securities Litigation Reform Act of 1995. Such “forward-looking” statements include, but are not limited to, statements with respect to our financial condition, results of operations and business, our expectations or beliefs concerning future events, including future financial and operating results, objectives, expectations and intentions, and other statements that are not historical facts. These statements contain words such as “believes,” “expects,” “may,” “will,” “should,” “would,” “could,” “seeks,” “approximately,” “intends,” “plans,” “estimates,” “projects,” “outlook,” “anticipates” or “looking forward” or similar expressions that relate to our strategy, plans, intentions, or expectations. All statements we make relating to our estimated and projected earnings, margins, costs, expenditures, cash flows, growth rates, and financial results or to our expectations regarding future industry trends are forward-looking statements. In addition, we, through our senior management, from time to time make forward-looking public statements concerning our expected future operations and performance and other developments. These forward-looking statements are based upon the current beliefs and expectations of the management and are subject to risks and uncertainties that may change at any time, and, therefore, our actual results may differ materially from those that we expected.</w:t>
      </w:r>
    </w:p>
    <w:p>
      <w:pPr>
        <w:spacing w:after="0" w:line="202" w:lineRule="exact"/>
        <w:rPr>
          <w:sz w:val="20"/>
          <w:szCs w:val="20"/>
          <w:color w:val="auto"/>
        </w:rPr>
      </w:pPr>
    </w:p>
    <w:p>
      <w:pPr>
        <w:ind w:right="220"/>
        <w:spacing w:after="0" w:line="264" w:lineRule="auto"/>
        <w:rPr>
          <w:sz w:val="20"/>
          <w:szCs w:val="20"/>
          <w:color w:val="auto"/>
        </w:rPr>
      </w:pPr>
      <w:r>
        <w:rPr>
          <w:rFonts w:ascii="Times New Roman" w:cs="Times New Roman" w:eastAsia="Times New Roman" w:hAnsi="Times New Roman"/>
          <w:sz w:val="17"/>
          <w:szCs w:val="17"/>
          <w:color w:val="auto"/>
        </w:rPr>
        <w:t>These risks and other factors are discussed in various periodic reports filed with the Securities and Exchange Commission (the “SEC”), including in our recent Form 8-K/A filed on January 31, 2024. All forward-looking statements are made only as of the date hereof, and we undertake no obligation to publicly update or revise any forward-looking statement as a result of new information, future events or otherwise, except as otherwise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61" w:right="41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2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Form 10-Q Index</w:t>
      </w:r>
    </w:p>
    <w:p>
      <w:pPr>
        <w:spacing w:after="0" w:line="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29, 2025</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9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5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Financial Statements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20" w:type="dxa"/>
            <w:vAlign w:val="bottom"/>
          </w:tcPr>
          <w:p>
            <w:pPr>
              <w:spacing w:after="0"/>
              <w:rPr>
                <w:sz w:val="19"/>
                <w:szCs w:val="19"/>
                <w:color w:val="auto"/>
              </w:rPr>
            </w:pPr>
          </w:p>
        </w:tc>
        <w:tc>
          <w:tcPr>
            <w:tcW w:w="910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Condensed Consolidated and Combined Statements of Operations and Consolidated and Combined Statements of</w:t>
            </w:r>
          </w:p>
        </w:tc>
        <w:tc>
          <w:tcPr>
            <w:tcW w:w="1060" w:type="dxa"/>
            <w:vAlign w:val="bottom"/>
          </w:tcPr>
          <w:p>
            <w:pPr>
              <w:spacing w:after="0"/>
              <w:rPr>
                <w:sz w:val="19"/>
                <w:szCs w:val="19"/>
                <w:color w:val="auto"/>
              </w:rPr>
            </w:pPr>
          </w:p>
        </w:tc>
      </w:tr>
      <w:tr>
        <w:trPr>
          <w:trHeight w:val="234"/>
        </w:trPr>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20" w:type="dxa"/>
            <w:vAlign w:val="bottom"/>
            <w:gridSpan w:val="8"/>
          </w:tcPr>
          <w:p>
            <w:pPr>
              <w:ind w:left="1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57"/>
        </w:trPr>
        <w:tc>
          <w:tcPr>
            <w:tcW w:w="820" w:type="dxa"/>
            <w:vAlign w:val="bottom"/>
          </w:tcPr>
          <w:p>
            <w:pPr>
              <w:spacing w:after="0"/>
              <w:rPr>
                <w:sz w:val="22"/>
                <w:szCs w:val="22"/>
                <w:color w:val="auto"/>
              </w:rPr>
            </w:pPr>
          </w:p>
        </w:tc>
        <w:tc>
          <w:tcPr>
            <w:tcW w:w="910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Condensed Consolidated and Combined Balance Sheets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56"/>
        </w:trPr>
        <w:tc>
          <w:tcPr>
            <w:tcW w:w="820" w:type="dxa"/>
            <w:vAlign w:val="bottom"/>
          </w:tcPr>
          <w:p>
            <w:pPr>
              <w:spacing w:after="0"/>
              <w:rPr>
                <w:sz w:val="22"/>
                <w:szCs w:val="22"/>
                <w:color w:val="auto"/>
              </w:rPr>
            </w:pPr>
          </w:p>
        </w:tc>
        <w:tc>
          <w:tcPr>
            <w:tcW w:w="910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Condensed Consolidated and Combined Statements of Cash Flows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57"/>
        </w:trPr>
        <w:tc>
          <w:tcPr>
            <w:tcW w:w="820" w:type="dxa"/>
            <w:vAlign w:val="bottom"/>
          </w:tcPr>
          <w:p>
            <w:pPr>
              <w:spacing w:after="0"/>
              <w:rPr>
                <w:sz w:val="22"/>
                <w:szCs w:val="22"/>
                <w:color w:val="auto"/>
              </w:rPr>
            </w:pPr>
          </w:p>
        </w:tc>
        <w:tc>
          <w:tcPr>
            <w:tcW w:w="910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Condensed Consolidated and Combined Statements of Changes in Stockholders'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57"/>
        </w:trPr>
        <w:tc>
          <w:tcPr>
            <w:tcW w:w="820" w:type="dxa"/>
            <w:vAlign w:val="bottom"/>
          </w:tcPr>
          <w:p>
            <w:pPr>
              <w:spacing w:after="0"/>
              <w:rPr>
                <w:sz w:val="22"/>
                <w:szCs w:val="22"/>
                <w:color w:val="auto"/>
              </w:rPr>
            </w:pPr>
          </w:p>
        </w:tc>
        <w:tc>
          <w:tcPr>
            <w:tcW w:w="9100" w:type="dxa"/>
            <w:vAlign w:val="bottom"/>
            <w:gridSpan w:val="10"/>
          </w:tcPr>
          <w:p>
            <w:pPr>
              <w:ind w:left="200"/>
              <w:spacing w:after="0"/>
              <w:rPr>
                <w:sz w:val="20"/>
                <w:szCs w:val="20"/>
                <w:color w:val="auto"/>
              </w:rPr>
            </w:pPr>
            <w:r>
              <w:rPr>
                <w:rFonts w:ascii="Times New Roman" w:cs="Times New Roman" w:eastAsia="Times New Roman" w:hAnsi="Times New Roman"/>
                <w:sz w:val="18"/>
                <w:szCs w:val="18"/>
                <w:color w:val="auto"/>
              </w:rPr>
              <w:t>Notes to Consolidated and Combined Financial Statements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10"/>
          </w:tcPr>
          <w:p>
            <w:pPr>
              <w:ind w:left="26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7"/>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3</w:t>
            </w:r>
          </w:p>
        </w:tc>
        <w:tc>
          <w:tcPr>
            <w:tcW w:w="26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4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Risks</w:t>
            </w:r>
          </w:p>
        </w:tc>
        <w:tc>
          <w:tcPr>
            <w:tcW w:w="2000" w:type="dxa"/>
            <w:vAlign w:val="bottom"/>
            <w:tcBorders>
              <w:top w:val="single" w:sz="8" w:color="0000FF"/>
            </w:tcBorders>
          </w:tcPr>
          <w:p>
            <w:pPr>
              <w:spacing w:after="0"/>
              <w:rPr>
                <w:sz w:val="20"/>
                <w:szCs w:val="20"/>
                <w:color w:val="auto"/>
              </w:rPr>
            </w:pPr>
          </w:p>
        </w:tc>
        <w:tc>
          <w:tcPr>
            <w:tcW w:w="2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6"/>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Controls and Procedures</w:t>
            </w:r>
          </w:p>
        </w:tc>
        <w:tc>
          <w:tcPr>
            <w:tcW w:w="7060" w:type="dxa"/>
            <w:vAlign w:val="bottom"/>
            <w:gridSpan w:val="3"/>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77"/>
        </w:trPr>
        <w:tc>
          <w:tcPr>
            <w:tcW w:w="9920" w:type="dxa"/>
            <w:vAlign w:val="bottom"/>
            <w:gridSpan w:val="11"/>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Legal Proceedings</w:t>
            </w:r>
          </w:p>
        </w:tc>
        <w:tc>
          <w:tcPr>
            <w:tcW w:w="7500" w:type="dxa"/>
            <w:vAlign w:val="bottom"/>
            <w:gridSpan w:val="4"/>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7"/>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6"/>
        </w:trPr>
        <w:tc>
          <w:tcPr>
            <w:tcW w:w="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 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Exhibits</w:t>
            </w:r>
          </w:p>
        </w:tc>
        <w:tc>
          <w:tcPr>
            <w:tcW w:w="7940" w:type="dxa"/>
            <w:vAlign w:val="bottom"/>
            <w:gridSpan w:val="5"/>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140" w:type="dxa"/>
            <w:vAlign w:val="bottom"/>
            <w:gridSpan w:val="6"/>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37"/>
        </w:trPr>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Signature</w:t>
            </w:r>
          </w:p>
        </w:tc>
        <w:tc>
          <w:tcPr>
            <w:tcW w:w="8140" w:type="dxa"/>
            <w:vAlign w:val="bottom"/>
            <w:gridSpan w:val="6"/>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1278" w:right="5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Operations</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00" w:type="dxa"/>
            <w:vAlign w:val="bottom"/>
            <w:gridSpan w:val="3"/>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40" w:type="dxa"/>
            <w:vAlign w:val="bottom"/>
            <w:gridSpan w:val="4"/>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Two Quarterly Periods Ended</w:t>
            </w:r>
          </w:p>
        </w:tc>
        <w:tc>
          <w:tcPr>
            <w:tcW w:w="0" w:type="dxa"/>
            <w:vAlign w:val="bottom"/>
          </w:tcPr>
          <w:p>
            <w:pPr>
              <w:spacing w:after="0"/>
              <w:rPr>
                <w:sz w:val="1"/>
                <w:szCs w:val="1"/>
                <w:color w:val="auto"/>
              </w:rPr>
            </w:pPr>
          </w:p>
        </w:tc>
      </w:tr>
      <w:tr>
        <w:trPr>
          <w:trHeight w:val="46"/>
        </w:trPr>
        <w:tc>
          <w:tcPr>
            <w:tcW w:w="36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of dollars, except per share amounts)</w:t>
            </w:r>
          </w:p>
        </w:tc>
        <w:tc>
          <w:tcPr>
            <w:tcW w:w="2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2"/>
          </w:tcPr>
          <w:p>
            <w:pPr>
              <w:spacing w:after="0"/>
              <w:rPr>
                <w:sz w:val="4"/>
                <w:szCs w:val="4"/>
                <w:color w:val="auto"/>
              </w:rPr>
            </w:pPr>
          </w:p>
        </w:tc>
        <w:tc>
          <w:tcPr>
            <w:tcW w:w="14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6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30, 2024</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40" w:type="dxa"/>
            <w:vAlign w:val="bottom"/>
          </w:tcPr>
          <w:p>
            <w:pPr>
              <w:spacing w:after="0"/>
              <w:rPr>
                <w:sz w:val="17"/>
                <w:szCs w:val="17"/>
                <w:color w:val="auto"/>
              </w:rPr>
            </w:pPr>
          </w:p>
        </w:tc>
        <w:tc>
          <w:tcPr>
            <w:tcW w:w="15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March 30, 2024</w:t>
            </w:r>
          </w:p>
        </w:tc>
        <w:tc>
          <w:tcPr>
            <w:tcW w:w="0" w:type="dxa"/>
            <w:vAlign w:val="bottom"/>
          </w:tcPr>
          <w:p>
            <w:pPr>
              <w:spacing w:after="0"/>
              <w:rPr>
                <w:sz w:val="1"/>
                <w:szCs w:val="1"/>
                <w:color w:val="auto"/>
              </w:rPr>
            </w:pPr>
          </w:p>
        </w:tc>
      </w:tr>
      <w:tr>
        <w:trPr>
          <w:trHeight w:val="98"/>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2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368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824</w:t>
            </w:r>
          </w:p>
        </w:tc>
        <w:tc>
          <w:tcPr>
            <w:tcW w:w="120" w:type="dxa"/>
            <w:vAlign w:val="bottom"/>
          </w:tcPr>
          <w:p>
            <w:pPr>
              <w:spacing w:after="0"/>
              <w:rPr>
                <w:sz w:val="17"/>
                <w:szCs w:val="17"/>
                <w:color w:val="auto"/>
              </w:rPr>
            </w:pPr>
          </w:p>
        </w:tc>
        <w:tc>
          <w:tcPr>
            <w:tcW w:w="1420" w:type="dxa"/>
            <w:vAlign w:val="bottom"/>
          </w:tcPr>
          <w:p>
            <w:pPr>
              <w:jc w:val="right"/>
              <w:ind w:right="12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1,526</w:t>
            </w:r>
          </w:p>
        </w:tc>
        <w:tc>
          <w:tcPr>
            <w:tcW w:w="10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0" w:type="dxa"/>
            <w:vAlign w:val="bottom"/>
          </w:tcPr>
          <w:p>
            <w:pPr>
              <w:spacing w:after="0"/>
              <w:rPr>
                <w:sz w:val="1"/>
                <w:szCs w:val="1"/>
                <w:color w:val="auto"/>
              </w:rPr>
            </w:pPr>
          </w:p>
        </w:tc>
      </w:tr>
      <w:tr>
        <w:trPr>
          <w:trHeight w:val="241"/>
        </w:trPr>
        <w:tc>
          <w:tcPr>
            <w:tcW w:w="368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Cost of goods sold</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736</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w:t>
            </w:r>
          </w:p>
        </w:tc>
        <w:tc>
          <w:tcPr>
            <w:tcW w:w="0" w:type="dxa"/>
            <w:vAlign w:val="bottom"/>
          </w:tcPr>
          <w:p>
            <w:pPr>
              <w:spacing w:after="0"/>
              <w:rPr>
                <w:sz w:val="1"/>
                <w:szCs w:val="1"/>
                <w:color w:val="auto"/>
              </w:rPr>
            </w:pPr>
          </w:p>
        </w:tc>
      </w:tr>
      <w:tr>
        <w:trPr>
          <w:trHeight w:val="243"/>
        </w:trPr>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43"/>
        </w:trPr>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43"/>
        </w:trPr>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Transaction and other activities</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43"/>
        </w:trPr>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Corporate expense allocation</w:t>
            </w:r>
          </w:p>
        </w:tc>
        <w:tc>
          <w:tcPr>
            <w:tcW w:w="240" w:type="dxa"/>
            <w:vAlign w:val="bottom"/>
          </w:tcPr>
          <w:p>
            <w:pPr>
              <w:spacing w:after="0"/>
              <w:rPr>
                <w:sz w:val="21"/>
                <w:szCs w:val="21"/>
                <w:color w:val="auto"/>
              </w:rPr>
            </w:pP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w:t>
            </w:r>
          </w:p>
        </w:tc>
        <w:tc>
          <w:tcPr>
            <w:tcW w:w="14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33"/>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41"/>
        </w:trPr>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3"/>
        </w:trPr>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6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41"/>
        </w:trPr>
        <w:tc>
          <w:tcPr>
            <w:tcW w:w="36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benefit</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68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120" w:type="dxa"/>
            <w:vAlign w:val="bottom"/>
          </w:tcPr>
          <w:p>
            <w:pPr>
              <w:spacing w:after="0"/>
              <w:rPr>
                <w:sz w:val="17"/>
                <w:szCs w:val="17"/>
                <w:color w:val="auto"/>
              </w:rPr>
            </w:pPr>
          </w:p>
        </w:tc>
        <w:tc>
          <w:tcPr>
            <w:tcW w:w="1420" w:type="dxa"/>
            <w:vAlign w:val="bottom"/>
          </w:tcPr>
          <w:p>
            <w:pPr>
              <w:jc w:val="right"/>
              <w:ind w:right="1259"/>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100" w:type="dxa"/>
            <w:vAlign w:val="bottom"/>
          </w:tcPr>
          <w:p>
            <w:pPr>
              <w:spacing w:after="0"/>
              <w:rPr>
                <w:sz w:val="17"/>
                <w:szCs w:val="17"/>
                <w:color w:val="auto"/>
              </w:rPr>
            </w:pPr>
          </w:p>
        </w:tc>
        <w:tc>
          <w:tcPr>
            <w:tcW w:w="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1"/>
        </w:trPr>
        <w:tc>
          <w:tcPr>
            <w:tcW w:w="36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(loss) per share:</w:t>
            </w: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368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3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6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Basic and Diluted</w:t>
            </w: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(1.15)</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0.44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Comprehensive Income (Loss)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(Unaudited)</w:t>
      </w: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3700" w:type="dxa"/>
            <w:vAlign w:val="bottom"/>
          </w:tcPr>
          <w:p>
            <w:pPr>
              <w:spacing w:after="0"/>
              <w:rPr>
                <w:sz w:val="18"/>
                <w:szCs w:val="18"/>
                <w:color w:val="auto"/>
              </w:rPr>
            </w:pPr>
          </w:p>
        </w:tc>
        <w:tc>
          <w:tcPr>
            <w:tcW w:w="3380" w:type="dxa"/>
            <w:vAlign w:val="bottom"/>
            <w:gridSpan w:val="4"/>
          </w:tcPr>
          <w:p>
            <w:pPr>
              <w:jc w:val="right"/>
              <w:ind w:right="59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80" w:type="dxa"/>
            <w:vAlign w:val="bottom"/>
            <w:gridSpan w:val="4"/>
          </w:tcPr>
          <w:p>
            <w:pPr>
              <w:jc w:val="right"/>
              <w:ind w:right="737"/>
              <w:spacing w:after="0"/>
              <w:rPr>
                <w:sz w:val="20"/>
                <w:szCs w:val="20"/>
                <w:color w:val="auto"/>
              </w:rPr>
            </w:pPr>
            <w:r>
              <w:rPr>
                <w:rFonts w:ascii="Times New Roman" w:cs="Times New Roman" w:eastAsia="Times New Roman" w:hAnsi="Times New Roman"/>
                <w:sz w:val="16"/>
                <w:szCs w:val="16"/>
                <w:b w:val="1"/>
                <w:bCs w:val="1"/>
                <w:color w:val="auto"/>
              </w:rPr>
              <w:t>Two Quarterly Periods Ended</w:t>
            </w:r>
          </w:p>
        </w:tc>
        <w:tc>
          <w:tcPr>
            <w:tcW w:w="0" w:type="dxa"/>
            <w:vAlign w:val="bottom"/>
          </w:tcPr>
          <w:p>
            <w:pPr>
              <w:spacing w:after="0"/>
              <w:rPr>
                <w:sz w:val="1"/>
                <w:szCs w:val="1"/>
                <w:color w:val="auto"/>
              </w:rPr>
            </w:pPr>
          </w:p>
        </w:tc>
      </w:tr>
      <w:tr>
        <w:trPr>
          <w:trHeight w:val="47"/>
        </w:trPr>
        <w:tc>
          <w:tcPr>
            <w:tcW w:w="3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millions of dollars)</w:t>
            </w:r>
          </w:p>
        </w:tc>
        <w:tc>
          <w:tcPr>
            <w:tcW w:w="14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2"/>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700" w:type="dxa"/>
            <w:vAlign w:val="bottom"/>
            <w:vMerge w:val="continue"/>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30, 2024</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40" w:type="dxa"/>
            <w:vAlign w:val="bottom"/>
          </w:tcPr>
          <w:p>
            <w:pPr>
              <w:spacing w:after="0"/>
              <w:rPr>
                <w:sz w:val="17"/>
                <w:szCs w:val="17"/>
                <w:color w:val="auto"/>
              </w:rPr>
            </w:pPr>
          </w:p>
        </w:tc>
        <w:tc>
          <w:tcPr>
            <w:tcW w:w="1560" w:type="dxa"/>
            <w:vAlign w:val="bottom"/>
          </w:tcPr>
          <w:p>
            <w:pPr>
              <w:jc w:val="right"/>
              <w:ind w:right="297"/>
              <w:spacing w:after="0"/>
              <w:rPr>
                <w:sz w:val="20"/>
                <w:szCs w:val="20"/>
                <w:color w:val="auto"/>
              </w:rPr>
            </w:pPr>
            <w:r>
              <w:rPr>
                <w:rFonts w:ascii="Times New Roman" w:cs="Times New Roman" w:eastAsia="Times New Roman" w:hAnsi="Times New Roman"/>
                <w:sz w:val="16"/>
                <w:szCs w:val="16"/>
                <w:color w:val="auto"/>
              </w:rPr>
              <w:t>March 30, 2024</w:t>
            </w:r>
          </w:p>
        </w:tc>
        <w:tc>
          <w:tcPr>
            <w:tcW w:w="0" w:type="dxa"/>
            <w:vAlign w:val="bottom"/>
          </w:tcPr>
          <w:p>
            <w:pPr>
              <w:spacing w:after="0"/>
              <w:rPr>
                <w:sz w:val="1"/>
                <w:szCs w:val="1"/>
                <w:color w:val="auto"/>
              </w:rPr>
            </w:pPr>
          </w:p>
        </w:tc>
      </w:tr>
      <w:tr>
        <w:trPr>
          <w:trHeight w:val="98"/>
        </w:trPr>
        <w:tc>
          <w:tcPr>
            <w:tcW w:w="3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14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3700" w:type="dxa"/>
            <w:vAlign w:val="bottom"/>
            <w:vMerge w:val="continue"/>
          </w:tcPr>
          <w:p>
            <w:pPr>
              <w:spacing w:after="0"/>
              <w:rPr>
                <w:sz w:val="20"/>
                <w:szCs w:val="20"/>
                <w:color w:val="auto"/>
              </w:rPr>
            </w:pP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(41)</w:t>
            </w:r>
          </w:p>
        </w:tc>
        <w:tc>
          <w:tcPr>
            <w:tcW w:w="100" w:type="dxa"/>
            <w:vAlign w:val="bottom"/>
          </w:tcPr>
          <w:p>
            <w:pPr>
              <w:spacing w:after="0"/>
              <w:rPr>
                <w:sz w:val="20"/>
                <w:szCs w:val="20"/>
                <w:color w:val="auto"/>
              </w:rPr>
            </w:pP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1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Currency translation gain (loss)</w:t>
            </w:r>
          </w:p>
        </w:tc>
        <w:tc>
          <w:tcPr>
            <w:tcW w:w="1480" w:type="dxa"/>
            <w:vAlign w:val="bottom"/>
          </w:tcPr>
          <w:p>
            <w:pPr>
              <w:spacing w:after="0"/>
              <w:rPr>
                <w:sz w:val="21"/>
                <w:szCs w:val="21"/>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25</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33"/>
        </w:trPr>
        <w:tc>
          <w:tcPr>
            <w:tcW w:w="3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7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25</w:t>
            </w: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31"/>
        </w:trPr>
        <w:tc>
          <w:tcPr>
            <w:tcW w:w="3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700" w:type="dxa"/>
            <w:vAlign w:val="bottom"/>
            <w:vMerge w:val="continue"/>
          </w:tcPr>
          <w:p>
            <w:pPr>
              <w:spacing w:after="0"/>
              <w:rPr>
                <w:sz w:val="17"/>
                <w:szCs w:val="17"/>
                <w:color w:val="auto"/>
              </w:rPr>
            </w:pP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(16)</w:t>
            </w:r>
          </w:p>
        </w:tc>
        <w:tc>
          <w:tcPr>
            <w:tcW w:w="100" w:type="dxa"/>
            <w:vAlign w:val="bottom"/>
          </w:tcPr>
          <w:p>
            <w:pPr>
              <w:spacing w:after="0"/>
              <w:rPr>
                <w:sz w:val="17"/>
                <w:szCs w:val="17"/>
                <w:color w:val="auto"/>
              </w:rPr>
            </w:pP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(147)</w:t>
            </w:r>
          </w:p>
        </w:tc>
        <w:tc>
          <w:tcPr>
            <w:tcW w:w="100" w:type="dxa"/>
            <w:vAlign w:val="bottom"/>
          </w:tcPr>
          <w:p>
            <w:pPr>
              <w:spacing w:after="0"/>
              <w:rPr>
                <w:sz w:val="17"/>
                <w:szCs w:val="17"/>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31"/>
        </w:trPr>
        <w:tc>
          <w:tcPr>
            <w:tcW w:w="37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notes to consolidated and combined financial statements.</w:t>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4" w:name="page5"/>
    <w:bookmarkEnd w:id="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and Combined Balance Sheets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020" w:type="dxa"/>
            <w:vAlign w:val="bottom"/>
          </w:tcPr>
          <w:p>
            <w:pPr>
              <w:spacing w:after="0"/>
              <w:rPr>
                <w:sz w:val="20"/>
                <w:szCs w:val="20"/>
                <w:color w:val="auto"/>
              </w:rPr>
            </w:pPr>
            <w:r>
              <w:rPr>
                <w:rFonts w:ascii="Times New Roman" w:cs="Times New Roman" w:eastAsia="Times New Roman" w:hAnsi="Times New Roman"/>
                <w:sz w:val="14"/>
                <w:szCs w:val="14"/>
                <w:color w:val="auto"/>
              </w:rPr>
              <w:t>(in millions of dollars)</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9"/>
              </w:rPr>
              <w:t>March 29, 2025</w:t>
            </w:r>
          </w:p>
        </w:tc>
        <w:tc>
          <w:tcPr>
            <w:tcW w:w="24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September 28, 2024</w:t>
            </w:r>
          </w:p>
        </w:tc>
        <w:tc>
          <w:tcPr>
            <w:tcW w:w="0" w:type="dxa"/>
            <w:vAlign w:val="bottom"/>
          </w:tcPr>
          <w:p>
            <w:pPr>
              <w:spacing w:after="0"/>
              <w:rPr>
                <w:sz w:val="1"/>
                <w:szCs w:val="1"/>
                <w:color w:val="auto"/>
              </w:rPr>
            </w:pPr>
          </w:p>
        </w:tc>
      </w:tr>
      <w:tr>
        <w:trPr>
          <w:trHeight w:val="98"/>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7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282</w:t>
            </w:r>
          </w:p>
        </w:tc>
        <w:tc>
          <w:tcPr>
            <w:tcW w:w="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492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Finished goods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310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Raw materials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33"/>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1,428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w:t>
            </w:r>
          </w:p>
        </w:tc>
        <w:tc>
          <w:tcPr>
            <w:tcW w:w="0" w:type="dxa"/>
            <w:vAlign w:val="bottom"/>
          </w:tcPr>
          <w:p>
            <w:pPr>
              <w:spacing w:after="0"/>
              <w:rPr>
                <w:sz w:val="1"/>
                <w:szCs w:val="1"/>
                <w:color w:val="auto"/>
              </w:rPr>
            </w:pPr>
          </w:p>
        </w:tc>
      </w:tr>
      <w:tr>
        <w:trPr>
          <w:trHeight w:val="241"/>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Noncurrent assets:</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Goodwill and intangible assets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890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Right-of-use assets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assets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33"/>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4,061</w:t>
            </w:r>
          </w:p>
        </w:tc>
        <w:tc>
          <w:tcPr>
            <w:tcW w:w="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0" w:type="dxa"/>
            <w:vAlign w:val="bottom"/>
          </w:tcPr>
          <w:p>
            <w:pPr>
              <w:spacing w:after="0"/>
              <w:rPr>
                <w:sz w:val="1"/>
                <w:szCs w:val="1"/>
                <w:color w:val="auto"/>
              </w:rPr>
            </w:pPr>
          </w:p>
        </w:tc>
      </w:tr>
      <w:tr>
        <w:trPr>
          <w:trHeight w:val="31"/>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02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0"/>
        </w:trPr>
        <w:tc>
          <w:tcPr>
            <w:tcW w:w="7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379</w:t>
            </w:r>
          </w:p>
        </w:tc>
        <w:tc>
          <w:tcPr>
            <w:tcW w:w="8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209</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596</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w:t>
            </w:r>
          </w:p>
        </w:tc>
        <w:tc>
          <w:tcPr>
            <w:tcW w:w="0" w:type="dxa"/>
            <w:vAlign w:val="bottom"/>
          </w:tcPr>
          <w:p>
            <w:pPr>
              <w:spacing w:after="0"/>
              <w:rPr>
                <w:sz w:val="1"/>
                <w:szCs w:val="1"/>
                <w:color w:val="auto"/>
              </w:rPr>
            </w:pPr>
          </w:p>
        </w:tc>
      </w:tr>
      <w:tr>
        <w:trPr>
          <w:trHeight w:val="241"/>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Noncurrent liabilities:</w:t>
            </w:r>
          </w:p>
        </w:tc>
        <w:tc>
          <w:tcPr>
            <w:tcW w:w="3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33"/>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2,968</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484"/>
        </w:trPr>
        <w:tc>
          <w:tcPr>
            <w:tcW w:w="7020" w:type="dxa"/>
            <w:vAlign w:val="bottom"/>
          </w:tcPr>
          <w:p>
            <w:pPr>
              <w:spacing w:after="0"/>
              <w:rPr>
                <w:sz w:val="20"/>
                <w:szCs w:val="20"/>
                <w:color w:val="auto"/>
              </w:rPr>
            </w:pPr>
            <w:r>
              <w:rPr>
                <w:rFonts w:ascii="Times New Roman" w:cs="Times New Roman" w:eastAsia="Times New Roman" w:hAnsi="Times New Roman"/>
                <w:sz w:val="16"/>
                <w:szCs w:val="16"/>
                <w:color w:val="auto"/>
              </w:rPr>
              <w:t>Stockholders’ equity:</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Berry net investment</w:t>
            </w:r>
          </w:p>
        </w:tc>
        <w:tc>
          <w:tcPr>
            <w:tcW w:w="300" w:type="dxa"/>
            <w:vAlign w:val="bottom"/>
          </w:tcPr>
          <w:p>
            <w:pPr>
              <w:spacing w:after="0"/>
              <w:rPr>
                <w:sz w:val="21"/>
                <w:szCs w:val="21"/>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2,307</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1,408</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Retained loss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33"/>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1,093</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2,139</w:t>
            </w:r>
          </w:p>
        </w:tc>
        <w:tc>
          <w:tcPr>
            <w:tcW w:w="0" w:type="dxa"/>
            <w:vAlign w:val="bottom"/>
          </w:tcPr>
          <w:p>
            <w:pPr>
              <w:spacing w:after="0"/>
              <w:rPr>
                <w:sz w:val="1"/>
                <w:szCs w:val="1"/>
                <w:color w:val="auto"/>
              </w:rPr>
            </w:pPr>
          </w:p>
        </w:tc>
      </w:tr>
      <w:tr>
        <w:trPr>
          <w:trHeight w:val="31"/>
        </w:trPr>
        <w:tc>
          <w:tcPr>
            <w:tcW w:w="70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020" w:type="dxa"/>
            <w:vAlign w:val="bottom"/>
            <w:vMerge w:val="continue"/>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4,061</w:t>
            </w:r>
          </w:p>
        </w:tc>
        <w:tc>
          <w:tcPr>
            <w:tcW w:w="8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2,807</w:t>
            </w:r>
          </w:p>
        </w:tc>
        <w:tc>
          <w:tcPr>
            <w:tcW w:w="0" w:type="dxa"/>
            <w:vAlign w:val="bottom"/>
          </w:tcPr>
          <w:p>
            <w:pPr>
              <w:spacing w:after="0"/>
              <w:rPr>
                <w:sz w:val="1"/>
                <w:szCs w:val="1"/>
                <w:color w:val="auto"/>
              </w:rPr>
            </w:pPr>
          </w:p>
        </w:tc>
      </w:tr>
      <w:tr>
        <w:trPr>
          <w:trHeight w:val="31"/>
        </w:trPr>
        <w:tc>
          <w:tcPr>
            <w:tcW w:w="70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notes to consolidated and combined financial statements.</w:t>
      </w: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Cash Flows</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3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b w:val="1"/>
          <w:bCs w:val="1"/>
          <w:color w:val="auto"/>
        </w:rPr>
        <w:t>Two Quarterly Periods Ended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260" w:type="dxa"/>
            <w:vAlign w:val="bottom"/>
          </w:tcPr>
          <w:p>
            <w:pPr>
              <w:spacing w:after="0"/>
              <w:rPr>
                <w:sz w:val="20"/>
                <w:szCs w:val="20"/>
                <w:color w:val="auto"/>
              </w:rPr>
            </w:pPr>
            <w:r>
              <w:rPr>
                <w:rFonts w:ascii="Times New Roman" w:cs="Times New Roman" w:eastAsia="Times New Roman" w:hAnsi="Times New Roman"/>
                <w:sz w:val="14"/>
                <w:szCs w:val="14"/>
                <w:color w:val="auto"/>
              </w:rPr>
              <w:t>(in millions of dollars)</w:t>
            </w:r>
          </w:p>
        </w:tc>
        <w:tc>
          <w:tcPr>
            <w:tcW w:w="300" w:type="dxa"/>
            <w:vAlign w:val="bottom"/>
            <w:tcBorders>
              <w:top w:val="single" w:sz="8" w:color="auto"/>
            </w:tcBorders>
          </w:tcPr>
          <w:p>
            <w:pPr>
              <w:spacing w:after="0"/>
              <w:rPr>
                <w:sz w:val="19"/>
                <w:szCs w:val="19"/>
                <w:color w:val="auto"/>
              </w:rPr>
            </w:pPr>
          </w:p>
        </w:tc>
        <w:tc>
          <w:tcPr>
            <w:tcW w:w="1840" w:type="dxa"/>
            <w:vAlign w:val="bottom"/>
            <w:tcBorders>
              <w:top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32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rPr>
              <w:t>March 30, 2024</w:t>
            </w:r>
          </w:p>
        </w:tc>
        <w:tc>
          <w:tcPr>
            <w:tcW w:w="0" w:type="dxa"/>
            <w:vAlign w:val="bottom"/>
          </w:tcPr>
          <w:p>
            <w:pPr>
              <w:spacing w:after="0"/>
              <w:rPr>
                <w:sz w:val="1"/>
                <w:szCs w:val="1"/>
                <w:color w:val="auto"/>
              </w:rPr>
            </w:pPr>
          </w:p>
        </w:tc>
      </w:tr>
      <w:tr>
        <w:trPr>
          <w:trHeight w:val="98"/>
        </w:trPr>
        <w:tc>
          <w:tcPr>
            <w:tcW w:w="62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00" w:type="dxa"/>
            <w:vAlign w:val="bottom"/>
            <w:tcBorders>
              <w:bottom w:val="single" w:sz="8" w:color="auto"/>
            </w:tcBorders>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6260" w:type="dxa"/>
            <w:vAlign w:val="bottom"/>
            <w:vMerge w:val="continue"/>
          </w:tcPr>
          <w:p>
            <w:pPr>
              <w:spacing w:after="0"/>
              <w:rPr>
                <w:sz w:val="16"/>
                <w:szCs w:val="16"/>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300" w:type="dxa"/>
            <w:vAlign w:val="bottom"/>
            <w:vMerge w:val="continue"/>
          </w:tcPr>
          <w:p>
            <w:pPr>
              <w:spacing w:after="0"/>
              <w:rPr>
                <w:sz w:val="22"/>
                <w:szCs w:val="22"/>
                <w:color w:val="auto"/>
              </w:rPr>
            </w:pPr>
          </w:p>
        </w:tc>
        <w:tc>
          <w:tcPr>
            <w:tcW w:w="176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Adjustments to reconcile net cash from operating activities:</w:t>
            </w:r>
          </w:p>
        </w:tc>
        <w:tc>
          <w:tcPr>
            <w:tcW w:w="30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43"/>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 of intangibles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43"/>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Non-cash interest expense</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43"/>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3"/>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43"/>
        </w:trPr>
        <w:tc>
          <w:tcPr>
            <w:tcW w:w="62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non-cash operating activities, net</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Changes in working capital, net</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Change in other assets and liabilities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Net cash from (used in) operating activities</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2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511"/>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Additions to property, plant and equipment, net</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Cash acquired from GLT acquisition</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Settlement of net investment hedges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Other investing activities and other</w:t>
            </w:r>
          </w:p>
        </w:tc>
        <w:tc>
          <w:tcPr>
            <w:tcW w:w="300" w:type="dxa"/>
            <w:vAlign w:val="bottom"/>
          </w:tcPr>
          <w:p>
            <w:pPr>
              <w:spacing w:after="0"/>
              <w:rPr>
                <w:sz w:val="21"/>
                <w:szCs w:val="21"/>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Net cash from (used in) investing activities</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2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511"/>
        </w:trPr>
        <w:tc>
          <w:tcPr>
            <w:tcW w:w="62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long-term borrowings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1,556</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Repayments on long-term borrowings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(432)</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Transfers from (to) Berry, net</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Cash distribution to Berry</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(1,111)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Debt fees</w:t>
            </w:r>
          </w:p>
        </w:tc>
        <w:tc>
          <w:tcPr>
            <w:tcW w:w="3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360"/>
              <w:spacing w:after="0"/>
              <w:rPr>
                <w:sz w:val="20"/>
                <w:szCs w:val="20"/>
                <w:color w:val="auto"/>
              </w:rPr>
            </w:pPr>
            <w:r>
              <w:rPr>
                <w:rFonts w:ascii="Times New Roman" w:cs="Times New Roman" w:eastAsia="Times New Roman" w:hAnsi="Times New Roman"/>
                <w:sz w:val="16"/>
                <w:szCs w:val="16"/>
                <w:color w:val="auto"/>
              </w:rPr>
              <w:t>Net cash from financing activities</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2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41"/>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Effect of currency translation on cash</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2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41"/>
        </w:trPr>
        <w:tc>
          <w:tcPr>
            <w:tcW w:w="6260" w:type="dxa"/>
            <w:vAlign w:val="bottom"/>
          </w:tcPr>
          <w:p>
            <w:pPr>
              <w:spacing w:after="0"/>
              <w:rPr>
                <w:sz w:val="20"/>
                <w:szCs w:val="20"/>
                <w:color w:val="auto"/>
              </w:rPr>
            </w:pPr>
            <w:r>
              <w:rPr>
                <w:rFonts w:ascii="Times New Roman" w:cs="Times New Roman" w:eastAsia="Times New Roman" w:hAnsi="Times New Roman"/>
                <w:sz w:val="16"/>
                <w:szCs w:val="16"/>
                <w:color w:val="auto"/>
              </w:rPr>
              <w:t>Cash and cash equivalents at beginning of period</w:t>
            </w:r>
          </w:p>
        </w:tc>
        <w:tc>
          <w:tcPr>
            <w:tcW w:w="300" w:type="dxa"/>
            <w:vAlign w:val="bottom"/>
          </w:tcPr>
          <w:p>
            <w:pPr>
              <w:spacing w:after="0"/>
              <w:rPr>
                <w:sz w:val="20"/>
                <w:szCs w:val="20"/>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33"/>
        </w:trPr>
        <w:tc>
          <w:tcPr>
            <w:tcW w:w="6260" w:type="dxa"/>
            <w:vAlign w:val="bottom"/>
            <w:vMerge w:val="restart"/>
          </w:tcPr>
          <w:p>
            <w:pPr>
              <w:ind w:left="380"/>
              <w:spacing w:after="0"/>
              <w:rPr>
                <w:sz w:val="20"/>
                <w:szCs w:val="20"/>
                <w:color w:val="auto"/>
              </w:rPr>
            </w:pPr>
            <w:r>
              <w:rPr>
                <w:rFonts w:ascii="Times New Roman" w:cs="Times New Roman" w:eastAsia="Times New Roman" w:hAnsi="Times New Roman"/>
                <w:sz w:val="16"/>
                <w:szCs w:val="16"/>
                <w:color w:val="auto"/>
              </w:rPr>
              <w:t>Cash and cash equivalents at the end of period</w:t>
            </w: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6260" w:type="dxa"/>
            <w:vAlign w:val="bottom"/>
            <w:vMerge w:val="continue"/>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282</w:t>
            </w:r>
          </w:p>
        </w:tc>
        <w:tc>
          <w:tcPr>
            <w:tcW w:w="8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0" w:type="dxa"/>
            <w:vAlign w:val="bottom"/>
          </w:tcPr>
          <w:p>
            <w:pPr>
              <w:spacing w:after="0"/>
              <w:rPr>
                <w:sz w:val="1"/>
                <w:szCs w:val="1"/>
                <w:color w:val="auto"/>
              </w:rPr>
            </w:pPr>
          </w:p>
        </w:tc>
      </w:tr>
      <w:tr>
        <w:trPr>
          <w:trHeight w:val="31"/>
        </w:trPr>
        <w:tc>
          <w:tcPr>
            <w:tcW w:w="6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notes to consolidated and combined financial statements.</w:t>
      </w:r>
    </w:p>
    <w:p>
      <w:pPr>
        <w:spacing w:after="0" w:line="1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219075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720" w:top="522" w:right="7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and Combined Statements of Changes in Stockholders’ Equity</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(Unaudited)</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(in millions of dollars)</w:t>
            </w: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0"/>
        </w:trPr>
        <w:tc>
          <w:tcPr>
            <w:tcW w:w="29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Quarterly Period Ended</w:t>
            </w:r>
          </w:p>
        </w:tc>
        <w:tc>
          <w:tcPr>
            <w:tcW w:w="1240" w:type="dxa"/>
            <w:vAlign w:val="bottom"/>
          </w:tcPr>
          <w:p>
            <w:pPr>
              <w:jc w:val="center"/>
              <w:ind w:left="337"/>
              <w:spacing w:after="0"/>
              <w:rPr>
                <w:sz w:val="20"/>
                <w:szCs w:val="20"/>
                <w:color w:val="auto"/>
              </w:rPr>
            </w:pPr>
            <w:r>
              <w:rPr>
                <w:rFonts w:ascii="Times New Roman" w:cs="Times New Roman" w:eastAsia="Times New Roman" w:hAnsi="Times New Roman"/>
                <w:sz w:val="13"/>
                <w:szCs w:val="13"/>
                <w:b w:val="1"/>
                <w:bCs w:val="1"/>
                <w:color w:val="auto"/>
                <w:w w:val="98"/>
              </w:rPr>
              <w:t>Berry</w:t>
            </w:r>
          </w:p>
        </w:tc>
        <w:tc>
          <w:tcPr>
            <w:tcW w:w="400" w:type="dxa"/>
            <w:vAlign w:val="bottom"/>
          </w:tcPr>
          <w:p>
            <w:pPr>
              <w:spacing w:after="0"/>
              <w:rPr>
                <w:sz w:val="24"/>
                <w:szCs w:val="24"/>
                <w:color w:val="auto"/>
              </w:rPr>
            </w:pPr>
          </w:p>
        </w:tc>
        <w:tc>
          <w:tcPr>
            <w:tcW w:w="1280" w:type="dxa"/>
            <w:vAlign w:val="bottom"/>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38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Other Comprehensive Income</w:t>
            </w:r>
          </w:p>
        </w:tc>
        <w:tc>
          <w:tcPr>
            <w:tcW w:w="340" w:type="dxa"/>
            <w:vAlign w:val="bottom"/>
          </w:tcPr>
          <w:p>
            <w:pPr>
              <w:spacing w:after="0"/>
              <w:rPr>
                <w:sz w:val="24"/>
                <w:szCs w:val="24"/>
                <w:color w:val="auto"/>
              </w:rPr>
            </w:pPr>
          </w:p>
        </w:tc>
        <w:tc>
          <w:tcPr>
            <w:tcW w:w="132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24"/>
                <w:szCs w:val="24"/>
                <w:color w:val="auto"/>
              </w:rPr>
            </w:pPr>
          </w:p>
        </w:tc>
        <w:tc>
          <w:tcPr>
            <w:tcW w:w="15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Total Stockholders’ Equity</w:t>
            </w:r>
          </w:p>
        </w:tc>
        <w:tc>
          <w:tcPr>
            <w:tcW w:w="0" w:type="dxa"/>
            <w:vAlign w:val="bottom"/>
          </w:tcPr>
          <w:p>
            <w:pPr>
              <w:spacing w:after="0"/>
              <w:rPr>
                <w:sz w:val="1"/>
                <w:szCs w:val="1"/>
                <w:color w:val="auto"/>
              </w:rPr>
            </w:pPr>
          </w:p>
        </w:tc>
      </w:tr>
      <w:tr>
        <w:trPr>
          <w:trHeight w:val="176"/>
        </w:trPr>
        <w:tc>
          <w:tcPr>
            <w:tcW w:w="2940" w:type="dxa"/>
            <w:vAlign w:val="bottom"/>
            <w:vMerge w:val="continue"/>
          </w:tcPr>
          <w:p>
            <w:pPr>
              <w:spacing w:after="0"/>
              <w:rPr>
                <w:sz w:val="15"/>
                <w:szCs w:val="15"/>
                <w:color w:val="auto"/>
              </w:rPr>
            </w:pPr>
          </w:p>
        </w:tc>
        <w:tc>
          <w:tcPr>
            <w:tcW w:w="124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6"/>
              </w:rPr>
              <w:t>Net Investment</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(Loss) - Currency Translation</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Balance at December 28, 2024</w:t>
            </w:r>
          </w:p>
        </w:tc>
        <w:tc>
          <w:tcPr>
            <w:tcW w:w="1240" w:type="dxa"/>
            <w:vAlign w:val="bottom"/>
          </w:tcPr>
          <w:p>
            <w:pPr>
              <w:jc w:val="right"/>
              <w:ind w:right="10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jc w:val="right"/>
              <w:ind w:right="11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1,405</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(239)</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(60)</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1,106</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25</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29"/>
        </w:trPr>
        <w:tc>
          <w:tcPr>
            <w:tcW w:w="2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Balance at March 29, 2025</w:t>
            </w: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940" w:type="dxa"/>
            <w:vAlign w:val="bottom"/>
            <w:vMerge w:val="continue"/>
          </w:tcPr>
          <w:p>
            <w:pPr>
              <w:spacing w:after="0"/>
              <w:rPr>
                <w:sz w:val="14"/>
                <w:szCs w:val="14"/>
                <w:color w:val="auto"/>
              </w:rPr>
            </w:pPr>
          </w:p>
        </w:tc>
        <w:tc>
          <w:tcPr>
            <w:tcW w:w="1240" w:type="dxa"/>
            <w:vAlign w:val="bottom"/>
          </w:tcPr>
          <w:p>
            <w:pPr>
              <w:jc w:val="right"/>
              <w:ind w:right="10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jc w:val="right"/>
              <w:ind w:right="11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1,408</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(214)</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1,093</w:t>
            </w:r>
          </w:p>
        </w:tc>
        <w:tc>
          <w:tcPr>
            <w:tcW w:w="0" w:type="dxa"/>
            <w:vAlign w:val="bottom"/>
          </w:tcPr>
          <w:p>
            <w:pPr>
              <w:spacing w:after="0"/>
              <w:rPr>
                <w:sz w:val="1"/>
                <w:szCs w:val="1"/>
                <w:color w:val="auto"/>
              </w:rPr>
            </w:pPr>
          </w:p>
        </w:tc>
      </w:tr>
      <w:tr>
        <w:trPr>
          <w:trHeight w:val="29"/>
        </w:trPr>
        <w:tc>
          <w:tcPr>
            <w:tcW w:w="29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2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Balance at December 30, 2023</w:t>
            </w:r>
          </w:p>
        </w:tc>
        <w:tc>
          <w:tcPr>
            <w:tcW w:w="1240" w:type="dxa"/>
            <w:vAlign w:val="bottom"/>
          </w:tcPr>
          <w:p>
            <w:pPr>
              <w:jc w:val="right"/>
              <w:ind w:right="109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w:t>
            </w:r>
          </w:p>
        </w:tc>
        <w:tc>
          <w:tcPr>
            <w:tcW w:w="1280" w:type="dxa"/>
            <w:vAlign w:val="bottom"/>
          </w:tcPr>
          <w:p>
            <w:pPr>
              <w:jc w:val="right"/>
              <w:ind w:right="113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Transfers from parent, net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0" w:type="dxa"/>
            <w:vAlign w:val="bottom"/>
          </w:tcPr>
          <w:p>
            <w:pPr>
              <w:spacing w:after="0"/>
              <w:rPr>
                <w:sz w:val="1"/>
                <w:szCs w:val="1"/>
                <w:color w:val="auto"/>
              </w:rPr>
            </w:pPr>
          </w:p>
        </w:tc>
      </w:tr>
      <w:tr>
        <w:trPr>
          <w:trHeight w:val="29"/>
        </w:trPr>
        <w:tc>
          <w:tcPr>
            <w:tcW w:w="2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auto"/>
              </w:rPr>
              <w:t>Balance at March 30, 2024</w:t>
            </w: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940" w:type="dxa"/>
            <w:vAlign w:val="bottom"/>
            <w:vMerge w:val="continue"/>
          </w:tcPr>
          <w:p>
            <w:pPr>
              <w:spacing w:after="0"/>
              <w:rPr>
                <w:sz w:val="14"/>
                <w:szCs w:val="14"/>
                <w:color w:val="auto"/>
              </w:rPr>
            </w:pPr>
          </w:p>
        </w:tc>
        <w:tc>
          <w:tcPr>
            <w:tcW w:w="1240" w:type="dxa"/>
            <w:vAlign w:val="bottom"/>
          </w:tcPr>
          <w:p>
            <w:pPr>
              <w:jc w:val="right"/>
              <w:ind w:right="109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1280" w:type="dxa"/>
            <w:vAlign w:val="bottom"/>
          </w:tcPr>
          <w:p>
            <w:pPr>
              <w:jc w:val="right"/>
              <w:ind w:right="113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2,430</w:t>
            </w:r>
          </w:p>
        </w:tc>
        <w:tc>
          <w:tcPr>
            <w:tcW w:w="0" w:type="dxa"/>
            <w:vAlign w:val="bottom"/>
          </w:tcPr>
          <w:p>
            <w:pPr>
              <w:spacing w:after="0"/>
              <w:rPr>
                <w:sz w:val="1"/>
                <w:szCs w:val="1"/>
                <w:color w:val="auto"/>
              </w:rPr>
            </w:pPr>
          </w:p>
        </w:tc>
      </w:tr>
      <w:tr>
        <w:trPr>
          <w:trHeight w:val="29"/>
        </w:trPr>
        <w:tc>
          <w:tcPr>
            <w:tcW w:w="29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294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Two Quarterly Periods Ended</w:t>
            </w:r>
          </w:p>
        </w:tc>
        <w:tc>
          <w:tcPr>
            <w:tcW w:w="1240" w:type="dxa"/>
            <w:vAlign w:val="bottom"/>
          </w:tcPr>
          <w:p>
            <w:pPr>
              <w:jc w:val="center"/>
              <w:ind w:left="337"/>
              <w:spacing w:after="0"/>
              <w:rPr>
                <w:sz w:val="20"/>
                <w:szCs w:val="20"/>
                <w:color w:val="auto"/>
              </w:rPr>
            </w:pPr>
            <w:r>
              <w:rPr>
                <w:rFonts w:ascii="Times New Roman" w:cs="Times New Roman" w:eastAsia="Times New Roman" w:hAnsi="Times New Roman"/>
                <w:sz w:val="13"/>
                <w:szCs w:val="13"/>
                <w:b w:val="1"/>
                <w:bCs w:val="1"/>
                <w:color w:val="auto"/>
                <w:w w:val="98"/>
              </w:rPr>
              <w:t>Berry</w:t>
            </w:r>
          </w:p>
        </w:tc>
        <w:tc>
          <w:tcPr>
            <w:tcW w:w="400" w:type="dxa"/>
            <w:vAlign w:val="bottom"/>
          </w:tcPr>
          <w:p>
            <w:pPr>
              <w:spacing w:after="0"/>
              <w:rPr>
                <w:sz w:val="24"/>
                <w:szCs w:val="24"/>
                <w:color w:val="auto"/>
              </w:rPr>
            </w:pPr>
          </w:p>
        </w:tc>
        <w:tc>
          <w:tcPr>
            <w:tcW w:w="1280" w:type="dxa"/>
            <w:vAlign w:val="bottom"/>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380" w:type="dxa"/>
            <w:vAlign w:val="bottom"/>
          </w:tcPr>
          <w:p>
            <w:pPr>
              <w:spacing w:after="0"/>
              <w:rPr>
                <w:sz w:val="24"/>
                <w:szCs w:val="24"/>
                <w:color w:val="auto"/>
              </w:rPr>
            </w:pPr>
          </w:p>
        </w:tc>
        <w:tc>
          <w:tcPr>
            <w:tcW w:w="1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6"/>
              </w:rPr>
              <w:t>Other Comprehensive Income</w:t>
            </w:r>
          </w:p>
        </w:tc>
        <w:tc>
          <w:tcPr>
            <w:tcW w:w="340" w:type="dxa"/>
            <w:vAlign w:val="bottom"/>
          </w:tcPr>
          <w:p>
            <w:pPr>
              <w:spacing w:after="0"/>
              <w:rPr>
                <w:sz w:val="24"/>
                <w:szCs w:val="24"/>
                <w:color w:val="auto"/>
              </w:rPr>
            </w:pPr>
          </w:p>
        </w:tc>
        <w:tc>
          <w:tcPr>
            <w:tcW w:w="132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Pr>
          <w:p>
            <w:pPr>
              <w:spacing w:after="0"/>
              <w:rPr>
                <w:sz w:val="24"/>
                <w:szCs w:val="24"/>
                <w:color w:val="auto"/>
              </w:rPr>
            </w:pPr>
          </w:p>
        </w:tc>
        <w:tc>
          <w:tcPr>
            <w:tcW w:w="156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5"/>
              </w:rPr>
              <w:t>Total Stockholders’ Equity</w:t>
            </w:r>
          </w:p>
        </w:tc>
        <w:tc>
          <w:tcPr>
            <w:tcW w:w="0" w:type="dxa"/>
            <w:vAlign w:val="bottom"/>
          </w:tcPr>
          <w:p>
            <w:pPr>
              <w:spacing w:after="0"/>
              <w:rPr>
                <w:sz w:val="1"/>
                <w:szCs w:val="1"/>
                <w:color w:val="auto"/>
              </w:rPr>
            </w:pPr>
          </w:p>
        </w:tc>
      </w:tr>
      <w:tr>
        <w:trPr>
          <w:trHeight w:val="176"/>
        </w:trPr>
        <w:tc>
          <w:tcPr>
            <w:tcW w:w="2940" w:type="dxa"/>
            <w:vAlign w:val="bottom"/>
            <w:vMerge w:val="continue"/>
          </w:tcPr>
          <w:p>
            <w:pPr>
              <w:spacing w:after="0"/>
              <w:rPr>
                <w:sz w:val="15"/>
                <w:szCs w:val="15"/>
                <w:color w:val="auto"/>
              </w:rPr>
            </w:pPr>
          </w:p>
        </w:tc>
        <w:tc>
          <w:tcPr>
            <w:tcW w:w="124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6"/>
              </w:rPr>
              <w:t>Net Investment</w:t>
            </w:r>
          </w:p>
        </w:tc>
        <w:tc>
          <w:tcPr>
            <w:tcW w:w="4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left="317"/>
              <w:spacing w:after="0"/>
              <w:rPr>
                <w:sz w:val="20"/>
                <w:szCs w:val="20"/>
                <w:color w:val="auto"/>
              </w:rPr>
            </w:pPr>
            <w:r>
              <w:rPr>
                <w:rFonts w:ascii="Times New Roman" w:cs="Times New Roman" w:eastAsia="Times New Roman" w:hAnsi="Times New Roman"/>
                <w:sz w:val="13"/>
                <w:szCs w:val="13"/>
                <w:b w:val="1"/>
                <w:bCs w:val="1"/>
                <w:color w:val="auto"/>
                <w:w w:val="96"/>
              </w:rPr>
              <w:t>Paid-in Capital</w:t>
            </w:r>
          </w:p>
        </w:tc>
        <w:tc>
          <w:tcPr>
            <w:tcW w:w="3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w w:val="97"/>
              </w:rPr>
              <w:t>(Loss) - Currency Translation</w:t>
            </w:r>
          </w:p>
        </w:tc>
        <w:tc>
          <w:tcPr>
            <w:tcW w:w="3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rPr>
              <w:t>Loss</w:t>
            </w:r>
          </w:p>
        </w:tc>
        <w:tc>
          <w:tcPr>
            <w:tcW w:w="10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Balance at September 28, 2024</w:t>
            </w:r>
          </w:p>
        </w:tc>
        <w:tc>
          <w:tcPr>
            <w:tcW w:w="1240" w:type="dxa"/>
            <w:vAlign w:val="bottom"/>
          </w:tcPr>
          <w:p>
            <w:pPr>
              <w:jc w:val="right"/>
              <w:ind w:right="10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2,307</w:t>
            </w:r>
          </w:p>
        </w:tc>
        <w:tc>
          <w:tcPr>
            <w:tcW w:w="1280" w:type="dxa"/>
            <w:vAlign w:val="bottom"/>
          </w:tcPr>
          <w:p>
            <w:pPr>
              <w:jc w:val="right"/>
              <w:ind w:right="11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(168)</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2,139</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(101)</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(101)</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(46)</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Transfers to Berry, net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(1,111)</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(1,111)</w:t>
            </w:r>
          </w:p>
        </w:tc>
        <w:tc>
          <w:tcPr>
            <w:tcW w:w="0" w:type="dxa"/>
            <w:vAlign w:val="bottom"/>
          </w:tcPr>
          <w:p>
            <w:pPr>
              <w:spacing w:after="0"/>
              <w:rPr>
                <w:sz w:val="1"/>
                <w:szCs w:val="1"/>
                <w:color w:val="auto"/>
              </w:rPr>
            </w:pPr>
          </w:p>
        </w:tc>
      </w:tr>
      <w:tr>
        <w:trPr>
          <w:trHeight w:val="202"/>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October net investment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129</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129</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Distribution of Berry’s net investment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(1,325)</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1,325</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Acquisition of GLT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Share-based compensation</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Other</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30"/>
        </w:trPr>
        <w:tc>
          <w:tcPr>
            <w:tcW w:w="2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Balance at March 29, 2025</w:t>
            </w: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940" w:type="dxa"/>
            <w:vAlign w:val="bottom"/>
            <w:vMerge w:val="continue"/>
          </w:tcPr>
          <w:p>
            <w:pPr>
              <w:spacing w:after="0"/>
              <w:rPr>
                <w:sz w:val="14"/>
                <w:szCs w:val="14"/>
                <w:color w:val="auto"/>
              </w:rPr>
            </w:pPr>
          </w:p>
        </w:tc>
        <w:tc>
          <w:tcPr>
            <w:tcW w:w="1240" w:type="dxa"/>
            <w:vAlign w:val="bottom"/>
          </w:tcPr>
          <w:p>
            <w:pPr>
              <w:jc w:val="right"/>
              <w:ind w:right="10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jc w:val="right"/>
              <w:ind w:right="113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1,408</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(214)</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(101)</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1,093</w:t>
            </w:r>
          </w:p>
        </w:tc>
        <w:tc>
          <w:tcPr>
            <w:tcW w:w="0" w:type="dxa"/>
            <w:vAlign w:val="bottom"/>
          </w:tcPr>
          <w:p>
            <w:pPr>
              <w:spacing w:after="0"/>
              <w:rPr>
                <w:sz w:val="1"/>
                <w:szCs w:val="1"/>
                <w:color w:val="auto"/>
              </w:rPr>
            </w:pPr>
          </w:p>
        </w:tc>
      </w:tr>
      <w:tr>
        <w:trPr>
          <w:trHeight w:val="30"/>
        </w:trPr>
        <w:tc>
          <w:tcPr>
            <w:tcW w:w="29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Balance at September 30, 2023</w:t>
            </w:r>
          </w:p>
        </w:tc>
        <w:tc>
          <w:tcPr>
            <w:tcW w:w="1240" w:type="dxa"/>
            <w:vAlign w:val="bottom"/>
          </w:tcPr>
          <w:p>
            <w:pPr>
              <w:jc w:val="right"/>
              <w:ind w:right="109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2,561</w:t>
            </w:r>
          </w:p>
        </w:tc>
        <w:tc>
          <w:tcPr>
            <w:tcW w:w="1280" w:type="dxa"/>
            <w:vAlign w:val="bottom"/>
          </w:tcPr>
          <w:p>
            <w:pPr>
              <w:jc w:val="right"/>
              <w:ind w:right="113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2,390</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Net income</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Other comprehensive income (loss)</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203"/>
        </w:trPr>
        <w:tc>
          <w:tcPr>
            <w:tcW w:w="2940" w:type="dxa"/>
            <w:vAlign w:val="bottom"/>
          </w:tcPr>
          <w:p>
            <w:pPr>
              <w:spacing w:after="0"/>
              <w:rPr>
                <w:sz w:val="20"/>
                <w:szCs w:val="20"/>
                <w:color w:val="auto"/>
              </w:rPr>
            </w:pPr>
            <w:r>
              <w:rPr>
                <w:rFonts w:ascii="Times New Roman" w:cs="Times New Roman" w:eastAsia="Times New Roman" w:hAnsi="Times New Roman"/>
                <w:sz w:val="13"/>
                <w:szCs w:val="13"/>
                <w:color w:val="auto"/>
              </w:rPr>
              <w:t>Transfers from parent, net</w:t>
            </w:r>
          </w:p>
        </w:tc>
        <w:tc>
          <w:tcPr>
            <w:tcW w:w="12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28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30"/>
        </w:trPr>
        <w:tc>
          <w:tcPr>
            <w:tcW w:w="2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auto"/>
              </w:rPr>
              <w:t>Balance at March 30, 2024</w:t>
            </w: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940" w:type="dxa"/>
            <w:vAlign w:val="bottom"/>
            <w:vMerge w:val="continue"/>
          </w:tcPr>
          <w:p>
            <w:pPr>
              <w:spacing w:after="0"/>
              <w:rPr>
                <w:sz w:val="14"/>
                <w:szCs w:val="14"/>
                <w:color w:val="auto"/>
              </w:rPr>
            </w:pPr>
          </w:p>
        </w:tc>
        <w:tc>
          <w:tcPr>
            <w:tcW w:w="1240" w:type="dxa"/>
            <w:vAlign w:val="bottom"/>
          </w:tcPr>
          <w:p>
            <w:pPr>
              <w:jc w:val="right"/>
              <w:ind w:right="109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2,583</w:t>
            </w:r>
          </w:p>
        </w:tc>
        <w:tc>
          <w:tcPr>
            <w:tcW w:w="1280" w:type="dxa"/>
            <w:vAlign w:val="bottom"/>
          </w:tcPr>
          <w:p>
            <w:pPr>
              <w:jc w:val="right"/>
              <w:ind w:right="1137"/>
              <w:spacing w:after="0"/>
              <w:rPr>
                <w:sz w:val="20"/>
                <w:szCs w:val="20"/>
                <w:color w:val="auto"/>
              </w:rPr>
            </w:pPr>
            <w:r>
              <w:rPr>
                <w:rFonts w:ascii="Times New Roman" w:cs="Times New Roman" w:eastAsia="Times New Roman" w:hAnsi="Times New Roman"/>
                <w:sz w:val="13"/>
                <w:szCs w:val="13"/>
                <w:color w:val="auto"/>
                <w:w w:val="91"/>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13"/>
                <w:szCs w:val="13"/>
                <w:color w:val="auto"/>
                <w:w w:val="91"/>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2,430</w:t>
            </w:r>
          </w:p>
        </w:tc>
        <w:tc>
          <w:tcPr>
            <w:tcW w:w="0" w:type="dxa"/>
            <w:vAlign w:val="bottom"/>
          </w:tcPr>
          <w:p>
            <w:pPr>
              <w:spacing w:after="0"/>
              <w:rPr>
                <w:sz w:val="1"/>
                <w:szCs w:val="1"/>
                <w:color w:val="auto"/>
              </w:rPr>
            </w:pPr>
          </w:p>
        </w:tc>
      </w:tr>
      <w:tr>
        <w:trPr>
          <w:trHeight w:val="30"/>
        </w:trPr>
        <w:tc>
          <w:tcPr>
            <w:tcW w:w="294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i w:val="1"/>
          <w:iCs w:val="1"/>
          <w:color w:val="auto"/>
        </w:rPr>
        <w:t>See notes to consolidated and combined financial statements.</w:t>
      </w:r>
    </w:p>
    <w:p>
      <w:pPr>
        <w:spacing w:after="0" w:line="3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219075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27" w:right="33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(Unaudited)</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(tables in millions of dollars, except per share data)</w:t>
      </w:r>
    </w:p>
    <w:p>
      <w:pPr>
        <w:spacing w:after="0" w:line="228" w:lineRule="exact"/>
        <w:rPr>
          <w:sz w:val="20"/>
          <w:szCs w:val="20"/>
          <w:color w:val="auto"/>
        </w:rPr>
      </w:pPr>
    </w:p>
    <w:p>
      <w:pPr>
        <w:ind w:left="500" w:hanging="492"/>
        <w:spacing w:after="0"/>
        <w:tabs>
          <w:tab w:leader="none" w:pos="5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4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7"/>
          <w:szCs w:val="17"/>
          <w:color w:val="auto"/>
        </w:rPr>
        <w:t>On November 4, 2024 (the “Closing Date”), Treasure Holdco, Inc. (“Treasure”), which was a wholly owned subsidiary of Berry Global Group, Inc. (“Berry”), completed its merger (the “Transaction”) with the Glatfelter Corporation (“GLT”) which concurrently changed its name to Magnera Corporation (the “Company,” “we,” or “Magnera”). As a result, pre-Transaction Treasure shareholders received shares of Magnera representing 90% of the combined company and GLT shareholders retained 10%. As Treasure was identified as the accounting acquirer, the prior year presentation represents standalone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Treasure results with the acquisition method of accounting being applied to the assets acquired and liabilities assumed of GLT. See Note 3—Acquisition</w:t>
      </w:r>
      <w:r>
        <w:rPr>
          <w:rFonts w:ascii="Times New Roman" w:cs="Times New Roman" w:eastAsia="Times New Roman" w:hAnsi="Times New Roman"/>
          <w:sz w:val="21"/>
          <w:szCs w:val="21"/>
          <w:color w:val="auto"/>
        </w:rPr>
        <w:t>.</w:t>
      </w:r>
    </w:p>
    <w:p>
      <w:pPr>
        <w:spacing w:after="0" w:line="230"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18"/>
          <w:szCs w:val="18"/>
          <w:color w:val="auto"/>
        </w:rPr>
        <w:t>The accompanying unaudited Consolidated and Combined Financial Statements of Magnera Corporation have been prepared in accordance with accounting principles generally accepted in the United States (“GAAP”) pursuant to the rules and regulations of the Securities and Exchange Commission (the "SEC") for interim reporting. In preparing financial statements in conformity with GAAP, we must make estimates and assumptions that affect the reported amounts and disclosures at the date of the financial statements and during the reporting period. Actual results could differ from those estimates. In the opinion of management, all adjustments (consisting of normal recurring adjustments) considered necessary for a fair presentation have been included, and all subsequent events up to the time of the filing have been evaluated. For further information, refer to the Company’s Form 8-K/A filed on January 31, 2025 with the SEC.</w:t>
      </w:r>
    </w:p>
    <w:p>
      <w:pPr>
        <w:spacing w:after="0" w:line="208"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The pre-Transaction combined financial results of operations, financial position, and cash flows have been prepared on a carve-out basis, which include assumptions underlying the preparation that management believe are reasonable. However, the combined pre-Transaction financial information included herein may not necessarily reflect the Company’s results of operations, financial position, and cash flows had the Company been an independent stand-alone company during the periods presented.</w:t>
      </w:r>
    </w:p>
    <w:p>
      <w:pPr>
        <w:spacing w:after="0" w:line="218"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color w:val="auto"/>
        </w:rPr>
        <w:t>For periods prior to the Closing Date, transactions between Berry and Treasure were reflected as a component of Berry's net investment in the Consolidated and Combined Balance Sheets and as a financing activity within the accompanying Consolidated and Combined Statements of Cash Flows. Berry's net investment on the Consolidated and Combined Balance Sheet and Consolidated and Combined Statement of Stockholders’ Equity represents the cumulative net investment by Berry in Treasure. Concurrent with the closing of the Transaction, Berry received a cash distribution and, in turn, transferred Berry’s health, hygiene and specialties global nonwovens and films business to Treasure. As a result, Berry's net investment in Treasure was reduced to zero with a corresponding adjustment to Additional Paid-in Capital.</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43"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 2023, the Financial Accounting Standards Board ("FASB") issued guidance with the goal of providing more information about reportable segments, including disaggregated expense information. The Company adopted all required disclosures requirements in fiscal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2023, the FASB issued guidance with the goal of providing more information in the income tax reconciliation table and regarding income taxes paid.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currently evaluating the impact of adopting this guidance.</w:t>
      </w:r>
    </w:p>
    <w:p>
      <w:pPr>
        <w:spacing w:after="0" w:line="22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2024, the FASB issued guidance with the goal of providing more expense information of certain categories of expenses that are included in line items on the face of the statements of earnings. The Company is currently evaluating the impact of adopting this guidance.</w:t>
      </w:r>
    </w:p>
    <w:p>
      <w:pPr>
        <w:spacing w:after="0" w:line="199" w:lineRule="exact"/>
        <w:rPr>
          <w:sz w:val="20"/>
          <w:szCs w:val="20"/>
          <w:color w:val="auto"/>
        </w:rPr>
      </w:pPr>
    </w:p>
    <w:p>
      <w:pPr>
        <w:ind w:left="540" w:hanging="532"/>
        <w:spacing w:after="0"/>
        <w:tabs>
          <w:tab w:leader="none" w:pos="54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and Accounts Receivable</w:t>
      </w:r>
    </w:p>
    <w:p>
      <w:pPr>
        <w:spacing w:after="0" w:line="229"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18"/>
          <w:szCs w:val="18"/>
          <w:color w:val="auto"/>
        </w:rPr>
        <w:t>Revenue is recognized when performance obligations are satisfied, in an amount reflecting the consideration to which the Company expects to be entitled. We consider the promise to transfer products to be our sole performance obligation. Generally, our revenue is recognized for standard promised goods at the time of shipment, when title and risk of loss pass to the customer. The Company disaggregates revenue based on geography. See Note 9—Segment and Geographic Data.</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0" w:right="359" w:bottom="1440" w:gutter="0" w:footer="0" w:header="0"/>
        </w:sectPr>
      </w:pPr>
    </w:p>
    <w:bookmarkStart w:id="8" w:name="page9"/>
    <w:bookmarkEnd w:id="8"/>
    <w:p>
      <w:pPr>
        <w:ind w:right="560"/>
        <w:spacing w:after="0" w:line="266" w:lineRule="auto"/>
        <w:rPr>
          <w:sz w:val="20"/>
          <w:szCs w:val="20"/>
          <w:color w:val="auto"/>
        </w:rPr>
      </w:pPr>
      <w:r>
        <w:rPr>
          <w:rFonts w:ascii="Times New Roman" w:cs="Times New Roman" w:eastAsia="Times New Roman" w:hAnsi="Times New Roman"/>
          <w:sz w:val="18"/>
          <w:szCs w:val="18"/>
          <w:color w:val="auto"/>
        </w:rPr>
        <w:t>The Company records current expected credit losses based on a variety of factors including historical loss experience and current customer financial condition. The changes to our current expected credit losses, write-off activity, and recoveries were not material for any of the periods presented.</w:t>
      </w:r>
    </w:p>
    <w:p>
      <w:pPr>
        <w:spacing w:after="0" w:line="2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has entered into various factoring agreements, primarily customer-based supply chain financing programs, to sell certain receivables to third-party financial institutions. These agreements result in true sales of the transferred receivables, which occur when receivables are transferred without recourse to the Company, are reflected as a reduction of trade receivables, net on the consolidated and combined balance sheets and the proceeds are included in the cash flows from operating activities in the consolidated and combined statements of cash flows.</w:t>
      </w:r>
    </w:p>
    <w:p>
      <w:pPr>
        <w:spacing w:after="0" w:line="200" w:lineRule="exact"/>
        <w:rPr>
          <w:sz w:val="20"/>
          <w:szCs w:val="20"/>
          <w:color w:val="auto"/>
        </w:rPr>
      </w:pPr>
    </w:p>
    <w:p>
      <w:pPr>
        <w:ind w:left="500" w:hanging="492"/>
        <w:spacing w:after="0"/>
        <w:tabs>
          <w:tab w:leader="none" w:pos="5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Glatfelter</w:t>
      </w:r>
    </w:p>
    <w:p>
      <w:pPr>
        <w:spacing w:after="0" w:line="241"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Transaction combined GLT’s sustainable solutions and product portfolio with Treasure’s proprietary technologies and global scale. The Company is now a global leader in growing markets while serving some of the world’s largest brand owners. The results of GLT have been included in the consolidated results of the Company since the Closing Date.</w:t>
      </w:r>
    </w:p>
    <w:p>
      <w:pPr>
        <w:spacing w:after="0" w:line="20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7"/>
          <w:szCs w:val="17"/>
          <w:color w:val="auto"/>
        </w:rPr>
        <w:t>The GLT acquisition has been accounted for under the purchase method of accounting. Under this method, the assets acquired and liabilities assumed have been recorded based on estimated fair values as of the Closing Date. Certain assets, including inventory, intangibles, and property, plant, and equipment included in the purchase price allocation have been estimated based on historical acquisitions. The Company will have a full valuation analysis performed over the acquired business during subsequent quarters and will continue to update the purchase price allocation throughout the year. The Company has recognized goodwill on this Transaction primarily as a result of expected cost synergies, and expects goodwill not to be deductible for tax purposes.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purchase price allocation, which is preliminary and subject to change within one year of the Closing Date:</w:t>
      </w:r>
    </w:p>
    <w:p>
      <w:pPr>
        <w:spacing w:after="0" w:line="297" w:lineRule="exact"/>
        <w:rPr>
          <w:sz w:val="20"/>
          <w:szCs w:val="20"/>
          <w:color w:val="auto"/>
        </w:rPr>
      </w:pPr>
    </w:p>
    <w:tbl>
      <w:tblPr>
        <w:tblLayout w:type="fixed"/>
        <w:tblInd w:w="1520" w:type="dxa"/>
        <w:tblCellMar>
          <w:top w:w="0" w:type="dxa"/>
          <w:left w:w="0" w:type="dxa"/>
          <w:bottom w:w="0" w:type="dxa"/>
          <w:right w:w="0" w:type="dxa"/>
        </w:tblCellMar>
      </w:tblPr>
      <w:tr>
        <w:trPr>
          <w:trHeight w:val="210"/>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Fair value of GLT common stock concurrent with closing</w:t>
            </w: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499"/>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Identifiable assets acquired and liabilities assumed</w:t>
            </w:r>
          </w:p>
        </w:tc>
        <w:tc>
          <w:tcPr>
            <w:tcW w:w="8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Cash</w:t>
            </w:r>
          </w:p>
        </w:tc>
        <w:tc>
          <w:tcPr>
            <w:tcW w:w="8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r>
      <w:tr>
        <w:trPr>
          <w:trHeight w:val="24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Working capital</w:t>
            </w:r>
            <w:r>
              <w:rPr>
                <w:rFonts w:ascii="Times New Roman" w:cs="Times New Roman" w:eastAsia="Times New Roman" w:hAnsi="Times New Roman"/>
                <w:sz w:val="21"/>
                <w:szCs w:val="21"/>
                <w:color w:val="auto"/>
                <w:vertAlign w:val="superscript"/>
              </w:rPr>
              <w:t>(a)</w:t>
            </w:r>
          </w:p>
        </w:tc>
        <w:tc>
          <w:tcPr>
            <w:tcW w:w="8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r>
      <w:tr>
        <w:trPr>
          <w:trHeight w:val="210"/>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8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w:t>
            </w: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Identifiable intangible assets</w:t>
            </w:r>
          </w:p>
        </w:tc>
        <w:tc>
          <w:tcPr>
            <w:tcW w:w="8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29"/>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Other assets</w:t>
            </w:r>
          </w:p>
        </w:tc>
        <w:tc>
          <w:tcPr>
            <w:tcW w:w="8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8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r>
      <w:tr>
        <w:trPr>
          <w:trHeight w:val="230"/>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Debt</w:t>
            </w:r>
          </w:p>
        </w:tc>
        <w:tc>
          <w:tcPr>
            <w:tcW w:w="8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r>
      <w:tr>
        <w:trPr>
          <w:trHeight w:val="243"/>
        </w:trPr>
        <w:tc>
          <w:tcPr>
            <w:tcW w:w="636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8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23"/>
        </w:trPr>
        <w:tc>
          <w:tcPr>
            <w:tcW w:w="6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consideration</w:t>
            </w: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w:t>
            </w:r>
          </w:p>
        </w:tc>
      </w:tr>
      <w:tr>
        <w:trPr>
          <w:trHeight w:val="27"/>
        </w:trPr>
        <w:tc>
          <w:tcPr>
            <w:tcW w:w="6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bl>
    <w:p>
      <w:pPr>
        <w:spacing w:after="0" w:line="51" w:lineRule="exact"/>
        <w:rPr>
          <w:sz w:val="20"/>
          <w:szCs w:val="20"/>
          <w:color w:val="auto"/>
        </w:rPr>
      </w:pPr>
    </w:p>
    <w:p>
      <w:pPr>
        <w:ind w:left="1440" w:hanging="136"/>
        <w:spacing w:after="0"/>
        <w:tabs>
          <w:tab w:leader="none" w:pos="1440" w:val="left"/>
        </w:tabs>
        <w:numPr>
          <w:ilvl w:val="0"/>
          <w:numId w:val="6"/>
        </w:numPr>
        <w:rPr>
          <w:rFonts w:ascii="Times New Roman" w:cs="Times New Roman" w:eastAsia="Times New Roman" w:hAnsi="Times New Roman"/>
          <w:sz w:val="17"/>
          <w:szCs w:val="17"/>
          <w:i w:val="1"/>
          <w:iCs w:val="1"/>
          <w:color w:val="auto"/>
          <w:vertAlign w:val="superscript"/>
        </w:rPr>
      </w:pPr>
      <w:r>
        <w:rPr>
          <w:rFonts w:ascii="Times New Roman" w:cs="Times New Roman" w:eastAsia="Times New Roman" w:hAnsi="Times New Roman"/>
          <w:sz w:val="13"/>
          <w:szCs w:val="13"/>
          <w:i w:val="1"/>
          <w:iCs w:val="1"/>
          <w:color w:val="auto"/>
        </w:rPr>
        <w:t>Includes a $12 million step up of inventory to fair value</w:t>
      </w:r>
    </w:p>
    <w:p>
      <w:pPr>
        <w:spacing w:after="0" w:line="208"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When including GLT results for the periods prior to the Closing Date, unaudited pro forma net sales and net loss were $885 million and $25 million, respectively for the quarterly period ended March 30, 2024, $1,638 million and $110 million, respectively, for the two quarterly periods ended March 29, 2025, and $1,725 million and $60 million, respectively, for the two quarterly periods ended March 30, 2024. The unaudited pro forma net sales and net income figures assume that the Transaction was consummated as of the beginning of the relevant period.</w:t>
      </w:r>
    </w:p>
    <w:p>
      <w:pPr>
        <w:spacing w:after="0" w:line="217" w:lineRule="exact"/>
        <w:rPr>
          <w:sz w:val="20"/>
          <w:szCs w:val="20"/>
          <w:color w:val="auto"/>
        </w:rPr>
      </w:pPr>
    </w:p>
    <w:p>
      <w:pPr>
        <w:ind w:left="500" w:hanging="492"/>
        <w:spacing w:after="0"/>
        <w:tabs>
          <w:tab w:leader="none" w:pos="5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Transaction and Other Activities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table below sets forth the significant components of the Transaction and other activities, including supply chain financings activity charges recognized for the periods presented, by reportable segment:</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9" w:name="page10"/>
    <w:bookmarkEnd w:id="9"/>
    <w:tbl>
      <w:tblPr>
        <w:tblLayout w:type="fixed"/>
        <w:tblInd w:w="20" w:type="dxa"/>
        <w:tblCellMar>
          <w:top w:w="0" w:type="dxa"/>
          <w:left w:w="0" w:type="dxa"/>
          <w:bottom w:w="0" w:type="dxa"/>
          <w:right w:w="0" w:type="dxa"/>
        </w:tblCellMar>
      </w:tblPr>
      <w:tr>
        <w:trPr>
          <w:trHeight w:val="212"/>
        </w:trPr>
        <w:tc>
          <w:tcPr>
            <w:tcW w:w="3140" w:type="dxa"/>
            <w:vAlign w:val="bottom"/>
          </w:tcPr>
          <w:p>
            <w:pPr>
              <w:spacing w:after="0"/>
              <w:rPr>
                <w:sz w:val="18"/>
                <w:szCs w:val="18"/>
                <w:color w:val="auto"/>
              </w:rPr>
            </w:pPr>
          </w:p>
        </w:tc>
        <w:tc>
          <w:tcPr>
            <w:tcW w:w="3620" w:type="dxa"/>
            <w:vAlign w:val="bottom"/>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60" w:type="dxa"/>
            <w:vAlign w:val="bottom"/>
            <w:gridSpan w:val="4"/>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Two Quarterly Periods Ended</w:t>
            </w:r>
          </w:p>
        </w:tc>
        <w:tc>
          <w:tcPr>
            <w:tcW w:w="0" w:type="dxa"/>
            <w:vAlign w:val="bottom"/>
          </w:tcPr>
          <w:p>
            <w:pPr>
              <w:spacing w:after="0"/>
              <w:rPr>
                <w:sz w:val="1"/>
                <w:szCs w:val="1"/>
                <w:color w:val="auto"/>
              </w:rPr>
            </w:pPr>
          </w:p>
        </w:tc>
      </w:tr>
      <w:tr>
        <w:trPr>
          <w:trHeight w:val="33"/>
        </w:trPr>
        <w:tc>
          <w:tcPr>
            <w:tcW w:w="314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14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March 30, 2024</w:t>
            </w: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4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80" w:type="dxa"/>
            <w:vAlign w:val="bottom"/>
          </w:tcPr>
          <w:p>
            <w:pPr>
              <w:spacing w:after="0"/>
              <w:rPr>
                <w:sz w:val="17"/>
                <w:szCs w:val="17"/>
                <w:color w:val="auto"/>
              </w:rPr>
            </w:pPr>
          </w:p>
        </w:tc>
        <w:tc>
          <w:tcPr>
            <w:tcW w:w="1640" w:type="dxa"/>
            <w:vAlign w:val="bottom"/>
          </w:tcPr>
          <w:p>
            <w:pPr>
              <w:jc w:val="right"/>
              <w:ind w:right="359"/>
              <w:spacing w:after="0"/>
              <w:rPr>
                <w:sz w:val="20"/>
                <w:szCs w:val="20"/>
                <w:color w:val="auto"/>
              </w:rPr>
            </w:pPr>
            <w:r>
              <w:rPr>
                <w:rFonts w:ascii="Times New Roman" w:cs="Times New Roman" w:eastAsia="Times New Roman" w:hAnsi="Times New Roman"/>
                <w:sz w:val="16"/>
                <w:szCs w:val="16"/>
                <w:color w:val="auto"/>
              </w:rPr>
              <w:t>March 30, 2024</w:t>
            </w:r>
          </w:p>
        </w:tc>
        <w:tc>
          <w:tcPr>
            <w:tcW w:w="0" w:type="dxa"/>
            <w:vAlign w:val="bottom"/>
          </w:tcPr>
          <w:p>
            <w:pPr>
              <w:spacing w:after="0"/>
              <w:rPr>
                <w:sz w:val="1"/>
                <w:szCs w:val="1"/>
                <w:color w:val="auto"/>
              </w:rPr>
            </w:pPr>
          </w:p>
        </w:tc>
      </w:tr>
      <w:tr>
        <w:trPr>
          <w:trHeight w:val="31"/>
        </w:trPr>
        <w:tc>
          <w:tcPr>
            <w:tcW w:w="3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Americas</w:t>
            </w: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3140" w:type="dxa"/>
            <w:vAlign w:val="bottom"/>
            <w:vMerge w:val="continue"/>
          </w:tcPr>
          <w:p>
            <w:pPr>
              <w:spacing w:after="0"/>
              <w:rPr>
                <w:sz w:val="17"/>
                <w:szCs w:val="17"/>
                <w:color w:val="auto"/>
              </w:rPr>
            </w:pPr>
          </w:p>
        </w:tc>
        <w:tc>
          <w:tcPr>
            <w:tcW w:w="1580" w:type="dxa"/>
            <w:vAlign w:val="bottom"/>
          </w:tcPr>
          <w:p>
            <w:pPr>
              <w:jc w:val="right"/>
              <w:ind w:right="13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80" w:type="dxa"/>
            <w:vAlign w:val="bottom"/>
          </w:tcPr>
          <w:p>
            <w:pPr>
              <w:spacing w:after="0"/>
              <w:rPr>
                <w:sz w:val="17"/>
                <w:szCs w:val="17"/>
                <w:color w:val="auto"/>
              </w:rPr>
            </w:pPr>
          </w:p>
        </w:tc>
        <w:tc>
          <w:tcPr>
            <w:tcW w:w="1620" w:type="dxa"/>
            <w:vAlign w:val="bottom"/>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34</w:t>
            </w:r>
          </w:p>
        </w:tc>
        <w:tc>
          <w:tcPr>
            <w:tcW w:w="100" w:type="dxa"/>
            <w:vAlign w:val="bottom"/>
          </w:tcPr>
          <w:p>
            <w:pPr>
              <w:spacing w:after="0"/>
              <w:rPr>
                <w:sz w:val="17"/>
                <w:szCs w:val="17"/>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41"/>
        </w:trPr>
        <w:tc>
          <w:tcPr>
            <w:tcW w:w="3140" w:type="dxa"/>
            <w:vAlign w:val="bottom"/>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158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w:t>
            </w:r>
          </w:p>
        </w:tc>
        <w:tc>
          <w:tcPr>
            <w:tcW w:w="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3"/>
        </w:trPr>
        <w:tc>
          <w:tcPr>
            <w:tcW w:w="3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Consolidated</w:t>
            </w:r>
          </w:p>
        </w:tc>
        <w:tc>
          <w:tcPr>
            <w:tcW w:w="15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140" w:type="dxa"/>
            <w:vAlign w:val="bottom"/>
            <w:vMerge w:val="continue"/>
          </w:tcPr>
          <w:p>
            <w:pPr>
              <w:spacing w:after="0"/>
              <w:rPr>
                <w:sz w:val="18"/>
                <w:szCs w:val="18"/>
                <w:color w:val="auto"/>
              </w:rPr>
            </w:pPr>
          </w:p>
        </w:tc>
        <w:tc>
          <w:tcPr>
            <w:tcW w:w="1580" w:type="dxa"/>
            <w:vAlign w:val="bottom"/>
            <w:tcBorders>
              <w:bottom w:val="single" w:sz="8" w:color="auto"/>
            </w:tcBorders>
          </w:tcPr>
          <w:p>
            <w:pPr>
              <w:jc w:val="right"/>
              <w:ind w:right="13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23</w:t>
            </w:r>
          </w:p>
        </w:tc>
        <w:tc>
          <w:tcPr>
            <w:tcW w:w="80" w:type="dxa"/>
            <w:vAlign w:val="bottom"/>
          </w:tcPr>
          <w:p>
            <w:pPr>
              <w:spacing w:after="0"/>
              <w:rPr>
                <w:sz w:val="18"/>
                <w:szCs w:val="18"/>
                <w:color w:val="auto"/>
              </w:rPr>
            </w:pPr>
          </w:p>
        </w:tc>
        <w:tc>
          <w:tcPr>
            <w:tcW w:w="1620" w:type="dxa"/>
            <w:vAlign w:val="bottom"/>
            <w:tcBorders>
              <w:bottom w:val="single" w:sz="8" w:color="auto"/>
            </w:tcBorders>
          </w:tcPr>
          <w:p>
            <w:pPr>
              <w:jc w:val="right"/>
              <w:ind w:right="1439"/>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18"/>
                <w:szCs w:val="18"/>
                <w:color w:val="auto"/>
              </w:rPr>
            </w:pP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
        </w:trPr>
        <w:tc>
          <w:tcPr>
            <w:tcW w:w="31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activity with respect to the transaction and other activities accrual at March 29, 2025:</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2800" w:type="dxa"/>
            <w:vAlign w:val="bottom"/>
          </w:tcPr>
          <w:p>
            <w:pPr>
              <w:spacing w:after="0"/>
              <w:rPr>
                <w:sz w:val="16"/>
                <w:szCs w:val="16"/>
                <w:color w:val="auto"/>
              </w:rPr>
            </w:pPr>
          </w:p>
        </w:tc>
        <w:tc>
          <w:tcPr>
            <w:tcW w:w="17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Employee Severance</w:t>
            </w:r>
          </w:p>
        </w:tc>
        <w:tc>
          <w:tcPr>
            <w:tcW w:w="17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Transaction Activities</w:t>
            </w:r>
          </w:p>
        </w:tc>
        <w:tc>
          <w:tcPr>
            <w:tcW w:w="1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2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and Benefits (a)</w:t>
            </w:r>
          </w:p>
        </w:tc>
        <w:tc>
          <w:tcPr>
            <w:tcW w:w="17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Non-cash Charges</w:t>
            </w:r>
          </w:p>
        </w:tc>
        <w:tc>
          <w:tcPr>
            <w:tcW w:w="160" w:type="dxa"/>
            <w:vAlign w:val="bottom"/>
          </w:tcPr>
          <w:p>
            <w:pPr>
              <w:spacing w:after="0"/>
              <w:rPr>
                <w:sz w:val="2"/>
                <w:szCs w:val="2"/>
                <w:color w:val="auto"/>
              </w:rPr>
            </w:pPr>
          </w:p>
        </w:tc>
        <w:tc>
          <w:tcPr>
            <w:tcW w:w="15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Other Activities</w:t>
            </w:r>
          </w:p>
        </w:tc>
        <w:tc>
          <w:tcPr>
            <w:tcW w:w="340" w:type="dxa"/>
            <w:vAlign w:val="bottom"/>
          </w:tcPr>
          <w:p>
            <w:pPr>
              <w:spacing w:after="0"/>
              <w:rPr>
                <w:sz w:val="2"/>
                <w:szCs w:val="2"/>
                <w:color w:val="auto"/>
              </w:rPr>
            </w:pPr>
          </w:p>
        </w:tc>
        <w:tc>
          <w:tcPr>
            <w:tcW w:w="1200" w:type="dxa"/>
            <w:vAlign w:val="bottom"/>
            <w:vMerge w:val="restart"/>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line="20" w:lineRule="exact"/>
              <w:rPr>
                <w:sz w:val="1"/>
                <w:szCs w:val="1"/>
                <w:color w:val="auto"/>
              </w:rPr>
            </w:pPr>
          </w:p>
        </w:tc>
      </w:tr>
      <w:tr>
        <w:trPr>
          <w:trHeight w:val="212"/>
        </w:trPr>
        <w:tc>
          <w:tcPr>
            <w:tcW w:w="2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(b)</w:t>
            </w:r>
          </w:p>
        </w:tc>
        <w:tc>
          <w:tcPr>
            <w:tcW w:w="12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28, 2024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80" w:type="dxa"/>
            <w:vAlign w:val="bottom"/>
          </w:tcPr>
          <w:p>
            <w:pPr>
              <w:spacing w:after="0"/>
              <w:rPr>
                <w:sz w:val="18"/>
                <w:szCs w:val="18"/>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tcPr>
          <w:p>
            <w:pPr>
              <w:jc w:val="center"/>
              <w:ind w:left="1019"/>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70"/>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Charges</w:t>
            </w:r>
          </w:p>
        </w:tc>
        <w:tc>
          <w:tcPr>
            <w:tcW w:w="18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16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w w:val="99"/>
              </w:rPr>
              <w:t>24</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center"/>
              <w:ind w:left="1019"/>
              <w:spacing w:after="0"/>
              <w:rPr>
                <w:sz w:val="20"/>
                <w:szCs w:val="20"/>
                <w:color w:val="auto"/>
              </w:rPr>
            </w:pPr>
            <w:r>
              <w:rPr>
                <w:rFonts w:ascii="Times New Roman" w:cs="Times New Roman" w:eastAsia="Times New Roman" w:hAnsi="Times New Roman"/>
                <w:sz w:val="16"/>
                <w:szCs w:val="16"/>
                <w:color w:val="auto"/>
                <w:w w:val="99"/>
              </w:rPr>
              <w:t>17</w:t>
            </w:r>
          </w:p>
        </w:tc>
        <w:tc>
          <w:tcPr>
            <w:tcW w:w="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Non-cash items</w:t>
            </w:r>
          </w:p>
        </w:tc>
        <w:tc>
          <w:tcPr>
            <w:tcW w:w="180" w:type="dxa"/>
            <w:vAlign w:val="bottom"/>
          </w:tcPr>
          <w:p>
            <w:pPr>
              <w:spacing w:after="0"/>
              <w:rPr>
                <w:sz w:val="21"/>
                <w:szCs w:val="21"/>
                <w:color w:val="auto"/>
              </w:rPr>
            </w:pP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1340" w:type="dxa"/>
            <w:vAlign w:val="bottom"/>
            <w:gridSpan w:val="2"/>
          </w:tcPr>
          <w:p>
            <w:pPr>
              <w:jc w:val="center"/>
              <w:ind w:left="579"/>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center"/>
              <w:ind w:left="8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43"/>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Cash payments</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160" w:type="dxa"/>
            <w:vAlign w:val="bottom"/>
          </w:tcPr>
          <w:p>
            <w:pPr>
              <w:jc w:val="center"/>
              <w:ind w:left="739"/>
              <w:spacing w:after="0"/>
              <w:rPr>
                <w:sz w:val="20"/>
                <w:szCs w:val="20"/>
                <w:color w:val="auto"/>
              </w:rPr>
            </w:pPr>
            <w:r>
              <w:rPr>
                <w:rFonts w:ascii="Times New Roman" w:cs="Times New Roman" w:eastAsia="Times New Roman" w:hAnsi="Times New Roman"/>
                <w:sz w:val="16"/>
                <w:szCs w:val="16"/>
                <w:color w:val="auto"/>
                <w:w w:val="97"/>
              </w:rPr>
              <w:t>(24)</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38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rPr>
              <w:t>(17)</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4"/>
        </w:trPr>
        <w:tc>
          <w:tcPr>
            <w:tcW w:w="280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29, 2025</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80" w:type="dxa"/>
            <w:vAlign w:val="bottom"/>
          </w:tcPr>
          <w:p>
            <w:pPr>
              <w:spacing w:after="0"/>
              <w:rPr>
                <w:sz w:val="18"/>
                <w:szCs w:val="18"/>
                <w:color w:val="auto"/>
              </w:rPr>
            </w:pPr>
          </w:p>
        </w:tc>
        <w:tc>
          <w:tcPr>
            <w:tcW w:w="4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160" w:type="dxa"/>
            <w:vAlign w:val="bottom"/>
            <w:tcBorders>
              <w:top w:val="single" w:sz="8" w:color="auto"/>
              <w:bottom w:val="single" w:sz="8" w:color="auto"/>
            </w:tcBorders>
          </w:tcPr>
          <w:p>
            <w:pPr>
              <w:jc w:val="center"/>
              <w:ind w:left="7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top w:val="single" w:sz="8" w:color="auto"/>
              <w:bottom w:val="single" w:sz="8" w:color="auto"/>
            </w:tcBorders>
          </w:tcPr>
          <w:p>
            <w:pPr>
              <w:jc w:val="center"/>
              <w:ind w:left="10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0" w:type="dxa"/>
            <w:vAlign w:val="bottom"/>
          </w:tcPr>
          <w:p>
            <w:pPr>
              <w:spacing w:after="0"/>
              <w:rPr>
                <w:sz w:val="1"/>
                <w:szCs w:val="1"/>
                <w:color w:val="auto"/>
              </w:rPr>
            </w:pPr>
          </w:p>
        </w:tc>
      </w:tr>
      <w:tr>
        <w:trPr>
          <w:trHeight w:val="22"/>
        </w:trPr>
        <w:tc>
          <w:tcPr>
            <w:tcW w:w="2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800" w:hanging="144"/>
        <w:spacing w:after="0"/>
        <w:tabs>
          <w:tab w:leader="none" w:pos="800" w:val="left"/>
        </w:tabs>
        <w:numPr>
          <w:ilvl w:val="1"/>
          <w:numId w:val="8"/>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color w:val="auto"/>
        </w:rPr>
        <w:t>Restructuring activities</w:t>
      </w:r>
    </w:p>
    <w:p>
      <w:pPr>
        <w:ind w:left="800" w:hanging="144"/>
        <w:spacing w:after="0" w:line="199" w:lineRule="auto"/>
        <w:tabs>
          <w:tab w:leader="none" w:pos="800" w:val="left"/>
        </w:tabs>
        <w:numPr>
          <w:ilvl w:val="1"/>
          <w:numId w:val="8"/>
        </w:numPr>
        <w:rPr>
          <w:rFonts w:ascii="Times New Roman" w:cs="Times New Roman" w:eastAsia="Times New Roman" w:hAnsi="Times New Roman"/>
          <w:sz w:val="18"/>
          <w:szCs w:val="18"/>
          <w:i w:val="1"/>
          <w:iCs w:val="1"/>
          <w:color w:val="auto"/>
          <w:vertAlign w:val="superscript"/>
        </w:rPr>
      </w:pPr>
      <w:r>
        <w:rPr>
          <w:rFonts w:ascii="Times New Roman" w:cs="Times New Roman" w:eastAsia="Times New Roman" w:hAnsi="Times New Roman"/>
          <w:sz w:val="14"/>
          <w:szCs w:val="14"/>
          <w:color w:val="auto"/>
        </w:rPr>
        <w:t>Includes $19 million of Transaction related compensation</w:t>
      </w:r>
    </w:p>
    <w:p>
      <w:pPr>
        <w:spacing w:after="0" w:line="190" w:lineRule="exact"/>
        <w:rPr>
          <w:rFonts w:ascii="Times New Roman" w:cs="Times New Roman" w:eastAsia="Times New Roman" w:hAnsi="Times New Roman"/>
          <w:sz w:val="18"/>
          <w:szCs w:val="18"/>
          <w:i w:val="1"/>
          <w:iCs w:val="1"/>
          <w:color w:val="auto"/>
          <w:vertAlign w:val="superscript"/>
        </w:rPr>
      </w:pPr>
    </w:p>
    <w:p>
      <w:pPr>
        <w:ind w:left="500" w:hanging="492"/>
        <w:spacing w:after="0"/>
        <w:tabs>
          <w:tab w:leader="none" w:pos="50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leases certain manufacturing facilities, warehouses, office space, manufacturing equipment, office equipment, and automobiles.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lease information is as follows:</w:t>
            </w:r>
          </w:p>
        </w:tc>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35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color w:val="auto"/>
              </w:rPr>
              <w:t>September 28, 2024</w:t>
            </w:r>
          </w:p>
        </w:tc>
        <w:tc>
          <w:tcPr>
            <w:tcW w:w="0" w:type="dxa"/>
            <w:vAlign w:val="bottom"/>
          </w:tcPr>
          <w:p>
            <w:pPr>
              <w:spacing w:after="0"/>
              <w:rPr>
                <w:sz w:val="1"/>
                <w:szCs w:val="1"/>
                <w:color w:val="auto"/>
              </w:rPr>
            </w:pPr>
          </w:p>
        </w:tc>
      </w:tr>
      <w:tr>
        <w:trPr>
          <w:trHeight w:val="223"/>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3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71</w:t>
            </w:r>
          </w:p>
        </w:tc>
        <w:tc>
          <w:tcPr>
            <w:tcW w:w="2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Right-of-use asset</w:t>
            </w:r>
          </w:p>
        </w:tc>
        <w:tc>
          <w:tcPr>
            <w:tcW w:w="220" w:type="dxa"/>
            <w:vAlign w:val="bottom"/>
          </w:tcPr>
          <w:p>
            <w:pPr>
              <w:spacing w:after="0"/>
              <w:rPr>
                <w:sz w:val="22"/>
                <w:szCs w:val="22"/>
                <w:color w:val="auto"/>
              </w:rPr>
            </w:pPr>
          </w:p>
        </w:tc>
        <w:tc>
          <w:tcPr>
            <w:tcW w:w="160" w:type="dxa"/>
            <w:vAlign w:val="bottom"/>
            <w:vMerge w:val="continue"/>
          </w:tcPr>
          <w:p>
            <w:pPr>
              <w:spacing w:after="0"/>
              <w:rPr>
                <w:sz w:val="22"/>
                <w:szCs w:val="22"/>
                <w:color w:val="auto"/>
              </w:rPr>
            </w:pPr>
          </w:p>
        </w:tc>
        <w:tc>
          <w:tcPr>
            <w:tcW w:w="1640" w:type="dxa"/>
            <w:vAlign w:val="bottom"/>
            <w:gridSpan w:val="2"/>
            <w:vMerge w:val="continue"/>
          </w:tcPr>
          <w:p>
            <w:pPr>
              <w:spacing w:after="0"/>
              <w:rPr>
                <w:sz w:val="22"/>
                <w:szCs w:val="22"/>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70"/>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w:t>
            </w:r>
          </w:p>
        </w:tc>
        <w:tc>
          <w:tcPr>
            <w:tcW w:w="28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6"/>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55</w:t>
            </w:r>
          </w:p>
        </w:tc>
        <w:tc>
          <w:tcPr>
            <w:tcW w:w="280" w:type="dxa"/>
            <w:vAlign w:val="bottom"/>
          </w:tcPr>
          <w:p>
            <w:pPr>
              <w:spacing w:after="0"/>
              <w:rPr>
                <w:sz w:val="22"/>
                <w:szCs w:val="22"/>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43"/>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Finance leases:</w:t>
            </w:r>
          </w:p>
        </w:tc>
        <w:tc>
          <w:tcPr>
            <w:tcW w:w="3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7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35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648"/>
        </w:trPr>
        <w:tc>
          <w:tcPr>
            <w:tcW w:w="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6.</w:t>
            </w:r>
          </w:p>
        </w:tc>
        <w:tc>
          <w:tcPr>
            <w:tcW w:w="35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3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370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3580" w:type="dxa"/>
            <w:vAlign w:val="bottom"/>
            <w:tcBorders>
              <w:bottom w:val="single" w:sz="8" w:color="auto"/>
            </w:tcBorders>
          </w:tcPr>
          <w:p>
            <w:pPr>
              <w:jc w:val="center"/>
              <w:ind w:left="1575"/>
              <w:spacing w:after="0"/>
              <w:rPr>
                <w:sz w:val="20"/>
                <w:szCs w:val="20"/>
                <w:color w:val="auto"/>
              </w:rPr>
            </w:pPr>
            <w:r>
              <w:rPr>
                <w:rFonts w:ascii="Times New Roman" w:cs="Times New Roman" w:eastAsia="Times New Roman" w:hAnsi="Times New Roman"/>
                <w:sz w:val="16"/>
                <w:szCs w:val="16"/>
                <w:b w:val="1"/>
                <w:bCs w:val="1"/>
                <w:color w:val="auto"/>
              </w:rPr>
              <w:t>Maturity Date</w:t>
            </w: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ind w:right="237"/>
              <w:spacing w:after="0"/>
              <w:rPr>
                <w:sz w:val="20"/>
                <w:szCs w:val="20"/>
                <w:color w:val="auto"/>
              </w:rPr>
            </w:pPr>
            <w:r>
              <w:rPr>
                <w:rFonts w:ascii="Times New Roman" w:cs="Times New Roman" w:eastAsia="Times New Roman" w:hAnsi="Times New Roman"/>
                <w:sz w:val="16"/>
                <w:szCs w:val="16"/>
                <w:color w:val="auto"/>
              </w:rPr>
              <w:t>September 28, 2024</w:t>
            </w:r>
          </w:p>
        </w:tc>
        <w:tc>
          <w:tcPr>
            <w:tcW w:w="0" w:type="dxa"/>
            <w:vAlign w:val="bottom"/>
          </w:tcPr>
          <w:p>
            <w:pPr>
              <w:spacing w:after="0"/>
              <w:rPr>
                <w:sz w:val="1"/>
                <w:szCs w:val="1"/>
                <w:color w:val="auto"/>
              </w:rPr>
            </w:pPr>
          </w:p>
        </w:tc>
      </w:tr>
      <w:tr>
        <w:trPr>
          <w:trHeight w:val="23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3580" w:type="dxa"/>
            <w:vAlign w:val="bottom"/>
          </w:tcPr>
          <w:p>
            <w:pPr>
              <w:jc w:val="center"/>
              <w:ind w:left="1575"/>
              <w:spacing w:after="0"/>
              <w:rPr>
                <w:sz w:val="20"/>
                <w:szCs w:val="20"/>
                <w:color w:val="auto"/>
              </w:rPr>
            </w:pPr>
            <w:r>
              <w:rPr>
                <w:rFonts w:ascii="Times New Roman" w:cs="Times New Roman" w:eastAsia="Times New Roman" w:hAnsi="Times New Roman"/>
                <w:sz w:val="16"/>
                <w:szCs w:val="16"/>
                <w:color w:val="auto"/>
              </w:rPr>
              <w:t>November 2029</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Term Loan</w:t>
            </w:r>
          </w:p>
        </w:tc>
        <w:tc>
          <w:tcPr>
            <w:tcW w:w="3580" w:type="dxa"/>
            <w:vAlign w:val="bottom"/>
          </w:tcPr>
          <w:p>
            <w:pPr>
              <w:jc w:val="center"/>
              <w:ind w:left="1575"/>
              <w:spacing w:after="0"/>
              <w:rPr>
                <w:sz w:val="20"/>
                <w:szCs w:val="20"/>
                <w:color w:val="auto"/>
              </w:rPr>
            </w:pPr>
            <w:r>
              <w:rPr>
                <w:rFonts w:ascii="Times New Roman" w:cs="Times New Roman" w:eastAsia="Times New Roman" w:hAnsi="Times New Roman"/>
                <w:sz w:val="16"/>
                <w:szCs w:val="16"/>
                <w:color w:val="auto"/>
              </w:rPr>
              <w:t>November 2031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783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7.25% First Priority Senior Secured Notes</w:t>
            </w:r>
          </w:p>
        </w:tc>
        <w:tc>
          <w:tcPr>
            <w:tcW w:w="3580" w:type="dxa"/>
            <w:vAlign w:val="bottom"/>
          </w:tcPr>
          <w:p>
            <w:pPr>
              <w:jc w:val="center"/>
              <w:ind w:left="1575"/>
              <w:spacing w:after="0"/>
              <w:rPr>
                <w:sz w:val="20"/>
                <w:szCs w:val="20"/>
                <w:color w:val="auto"/>
              </w:rPr>
            </w:pPr>
            <w:r>
              <w:rPr>
                <w:rFonts w:ascii="Times New Roman" w:cs="Times New Roman" w:eastAsia="Times New Roman" w:hAnsi="Times New Roman"/>
                <w:sz w:val="16"/>
                <w:szCs w:val="16"/>
                <w:color w:val="auto"/>
              </w:rPr>
              <w:t>November 2031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4.75% First Priority Senior Secured Notes</w:t>
            </w:r>
          </w:p>
        </w:tc>
        <w:tc>
          <w:tcPr>
            <w:tcW w:w="3580" w:type="dxa"/>
            <w:vAlign w:val="bottom"/>
          </w:tcPr>
          <w:p>
            <w:pPr>
              <w:jc w:val="center"/>
              <w:ind w:left="1575"/>
              <w:spacing w:after="0"/>
              <w:rPr>
                <w:sz w:val="20"/>
                <w:szCs w:val="20"/>
                <w:color w:val="auto"/>
              </w:rPr>
            </w:pPr>
            <w:r>
              <w:rPr>
                <w:rFonts w:ascii="Times New Roman" w:cs="Times New Roman" w:eastAsia="Times New Roman" w:hAnsi="Times New Roman"/>
                <w:sz w:val="16"/>
                <w:szCs w:val="16"/>
                <w:color w:val="auto"/>
              </w:rPr>
              <w:t>October 2029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3"/>
        </w:trPr>
        <w:tc>
          <w:tcPr>
            <w:tcW w:w="37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Debt discounts, deferred fees and other</w:t>
            </w:r>
          </w:p>
        </w:tc>
        <w:tc>
          <w:tcPr>
            <w:tcW w:w="3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(85)</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long-term debt</w:t>
            </w:r>
          </w:p>
        </w:tc>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200" w:type="dxa"/>
            <w:vAlign w:val="bottom"/>
          </w:tcPr>
          <w:p>
            <w:pPr>
              <w:spacing w:after="0"/>
              <w:rPr>
                <w:sz w:val="21"/>
                <w:szCs w:val="21"/>
                <w:color w:val="auto"/>
              </w:rPr>
            </w:pPr>
          </w:p>
        </w:tc>
        <w:tc>
          <w:tcPr>
            <w:tcW w:w="35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5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0" w:type="dxa"/>
            <w:vAlign w:val="bottom"/>
          </w:tcPr>
          <w:p>
            <w:pPr>
              <w:spacing w:after="0"/>
              <w:rPr>
                <w:sz w:val="18"/>
                <w:szCs w:val="18"/>
                <w:color w:val="auto"/>
              </w:rPr>
            </w:pPr>
          </w:p>
        </w:tc>
        <w:tc>
          <w:tcPr>
            <w:tcW w:w="35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358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1,990</w:t>
            </w: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As part of the Transaction, the Company consummated a $785 million Term Loan due 2031 (the “Term Loan”), an $800 million issuance of 7.25% First Priority Senior Secured Notes due 2031 (the “7.25% Notes”), and a $350 million revolving credit facility (the “Revolving Credit Facility”). The proceeds from the Term Loan and 7.25% Notes were used to retire a portion of GLT outstanding debt and fund a cash distribution to Berry.</w:t>
      </w:r>
    </w:p>
    <w:p>
      <w:pPr>
        <w:sectPr>
          <w:pgSz w:w="11900" w:h="16838" w:orient="portrait"/>
          <w:cols w:equalWidth="0" w:num="1">
            <w:col w:w="11240"/>
          </w:cols>
          <w:pgMar w:left="320" w:top="974" w:right="339" w:bottom="1440" w:gutter="0" w:footer="0" w:header="0"/>
        </w:sect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type w:val="continuous"/>
        </w:sectPr>
      </w:pPr>
    </w:p>
    <w:bookmarkStart w:id="10" w:name="page11"/>
    <w:bookmarkEnd w:id="10"/>
    <w:p>
      <w:pPr>
        <w:ind w:right="160"/>
        <w:spacing w:after="0" w:line="245" w:lineRule="auto"/>
        <w:rPr>
          <w:sz w:val="20"/>
          <w:szCs w:val="20"/>
          <w:color w:val="auto"/>
        </w:rPr>
      </w:pPr>
      <w:r>
        <w:rPr>
          <w:rFonts w:ascii="Times New Roman" w:cs="Times New Roman" w:eastAsia="Times New Roman" w:hAnsi="Times New Roman"/>
          <w:sz w:val="18"/>
          <w:szCs w:val="18"/>
          <w:color w:val="auto"/>
        </w:rPr>
        <w:t>Despite not having financial maintenance covenants on our Term Loan and secured notes, these agreements do contain certain negative covenants. The failure to comply with these negative covenants could restrict our ability to incur additional indebtedness, effect acquisitions, enter into certain significant business combinations, make distributions or redeem indebtedness. The current portion of long-term debt consists of quarterly principal payments on the term loan due within one year. We are in compliance with all covenants as of March 29, 2025.</w:t>
      </w:r>
    </w:p>
    <w:p>
      <w:pPr>
        <w:spacing w:after="0" w:line="208"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Debt discounts, deferred financing fees and the purchase price adjustment related to the retained GLT 4.75% First Priority Senior Secured Notes are presented net of Long-term debt, less the current portion on the Consolidated and Combined Balance Sheets and are amortized to Interest expense on the Consolidated and Combined Statements of Operations through maturity.</w:t>
      </w:r>
    </w:p>
    <w:p>
      <w:pPr>
        <w:spacing w:after="0" w:line="281"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Financial Instruments and Fair Value Measurements</w:t>
      </w:r>
    </w:p>
    <w:p>
      <w:pPr>
        <w:spacing w:after="0" w:line="243" w:lineRule="exact"/>
        <w:rPr>
          <w:sz w:val="20"/>
          <w:szCs w:val="20"/>
          <w:color w:val="auto"/>
        </w:rPr>
      </w:pPr>
    </w:p>
    <w:p>
      <w:pPr>
        <w:jc w:val="both"/>
        <w:ind w:right="200"/>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is exposed to certain risks arising from business operations and economic factors. The Company may use derivative financial instruments to help manage market risk and reduce the exposure to fluctuations in foreign currencies. These financial instruments are not used for trading or other speculative purposes.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Cross-Currency Swaps</w:t>
      </w:r>
    </w:p>
    <w:p>
      <w:pPr>
        <w:spacing w:after="0" w:line="227" w:lineRule="exact"/>
        <w:rPr>
          <w:sz w:val="20"/>
          <w:szCs w:val="20"/>
          <w:color w:val="auto"/>
        </w:rPr>
      </w:pPr>
    </w:p>
    <w:p>
      <w:pPr>
        <w:ind w:right="80"/>
        <w:spacing w:after="0" w:line="242" w:lineRule="auto"/>
        <w:rPr>
          <w:sz w:val="20"/>
          <w:szCs w:val="20"/>
          <w:color w:val="auto"/>
        </w:rPr>
      </w:pPr>
      <w:r>
        <w:rPr>
          <w:rFonts w:ascii="Times New Roman" w:cs="Times New Roman" w:eastAsia="Times New Roman" w:hAnsi="Times New Roman"/>
          <w:sz w:val="18"/>
          <w:szCs w:val="18"/>
          <w:color w:val="auto"/>
        </w:rPr>
        <w:t>The Company is party to certain cross-currency swaps to hedge a portion of our foreign currency risk. During the quarter ended March 29, 2025, the Company received net proceeds of $22 million related to the settlement of existing cross-currency rate swaps, with the offset being recorded in Accumulated other comprehensive loss. Following the settlement, the Company entered into a €250 million and a €425 million cross-currency swap, maturing November 2027 and November 2029 respectively. The swaps are designated as a hedge of the Company’s foreign currency investment in foreign subsidiaries.</w:t>
      </w:r>
    </w:p>
    <w:p>
      <w:pPr>
        <w:spacing w:after="0" w:line="21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records the fair value positions of all derivative financial instruments on a net basis by counterparty for which a master netting arrangement is utilized. Balances on a gross basis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Hedge Designation</w:t>
            </w:r>
          </w:p>
        </w:tc>
        <w:tc>
          <w:tcPr>
            <w:tcW w:w="2900" w:type="dxa"/>
            <w:vAlign w:val="bottom"/>
            <w:gridSpan w:val="2"/>
          </w:tcPr>
          <w:p>
            <w:pPr>
              <w:ind w:left="48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300" w:type="dxa"/>
            <w:vAlign w:val="bottom"/>
          </w:tcPr>
          <w:p>
            <w:pPr>
              <w:spacing w:after="0"/>
              <w:rPr>
                <w:sz w:val="18"/>
                <w:szCs w:val="18"/>
                <w:color w:val="auto"/>
              </w:rPr>
            </w:pPr>
          </w:p>
        </w:tc>
        <w:tc>
          <w:tcPr>
            <w:tcW w:w="1920" w:type="dxa"/>
            <w:vAlign w:val="bottom"/>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40" w:type="dxa"/>
            <w:vAlign w:val="bottom"/>
          </w:tcPr>
          <w:p>
            <w:pPr>
              <w:spacing w:after="0"/>
              <w:rPr>
                <w:sz w:val="18"/>
                <w:szCs w:val="18"/>
                <w:color w:val="auto"/>
              </w:rPr>
            </w:pPr>
          </w:p>
        </w:tc>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September 28, 2024</w:t>
            </w:r>
          </w:p>
        </w:tc>
      </w:tr>
      <w:tr>
        <w:trPr>
          <w:trHeight w:val="33"/>
        </w:trPr>
        <w:tc>
          <w:tcPr>
            <w:tcW w:w="19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06"/>
        </w:trPr>
        <w:tc>
          <w:tcPr>
            <w:tcW w:w="1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Cross-currency swaps</w:t>
            </w:r>
          </w:p>
        </w:tc>
        <w:tc>
          <w:tcPr>
            <w:tcW w:w="2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Designated</w:t>
            </w:r>
          </w:p>
        </w:tc>
        <w:tc>
          <w:tcPr>
            <w:tcW w:w="27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8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w:t>
            </w:r>
          </w:p>
        </w:tc>
        <w:tc>
          <w:tcPr>
            <w:tcW w:w="16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Pr>
          <w:p>
            <w:pPr>
              <w:ind w:left="1580"/>
              <w:spacing w:after="0"/>
              <w:rPr>
                <w:sz w:val="20"/>
                <w:szCs w:val="20"/>
                <w:color w:val="auto"/>
              </w:rPr>
            </w:pPr>
            <w:r>
              <w:rPr>
                <w:rFonts w:ascii="Times New Roman" w:cs="Times New Roman" w:eastAsia="Times New Roman" w:hAnsi="Times New Roman"/>
                <w:sz w:val="16"/>
                <w:szCs w:val="16"/>
                <w:color w:val="auto"/>
              </w:rPr>
              <w:t>—</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 of the Company’s derivative instruments on the Consolidated and Combined Statements of Operations is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8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gridSpan w:val="7"/>
          </w:tcPr>
          <w:p>
            <w:pPr>
              <w:jc w:val="right"/>
              <w:ind w:right="83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2880" w:type="dxa"/>
            <w:vAlign w:val="bottom"/>
            <w:gridSpan w:val="4"/>
          </w:tcPr>
          <w:p>
            <w:pPr>
              <w:ind w:left="320"/>
              <w:spacing w:after="0"/>
              <w:rPr>
                <w:sz w:val="20"/>
                <w:szCs w:val="20"/>
                <w:color w:val="auto"/>
              </w:rPr>
            </w:pPr>
            <w:r>
              <w:rPr>
                <w:rFonts w:ascii="Times New Roman" w:cs="Times New Roman" w:eastAsia="Times New Roman" w:hAnsi="Times New Roman"/>
                <w:sz w:val="16"/>
                <w:szCs w:val="16"/>
                <w:b w:val="1"/>
                <w:bCs w:val="1"/>
                <w:color w:val="auto"/>
              </w:rPr>
              <w:t>Two Quarterly Periods Ended</w:t>
            </w:r>
          </w:p>
        </w:tc>
      </w:tr>
      <w:tr>
        <w:trPr>
          <w:trHeight w:val="223"/>
        </w:trPr>
        <w:tc>
          <w:tcPr>
            <w:tcW w:w="18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 Instruments</w:t>
            </w:r>
          </w:p>
        </w:tc>
        <w:tc>
          <w:tcPr>
            <w:tcW w:w="32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Statements of Income Location</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March 30, 2024</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6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March 30, 2024</w:t>
            </w:r>
          </w:p>
        </w:tc>
      </w:tr>
      <w:tr>
        <w:trPr>
          <w:trHeight w:val="212"/>
        </w:trPr>
        <w:tc>
          <w:tcPr>
            <w:tcW w:w="18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Cross-currency swaps</w:t>
            </w:r>
          </w:p>
        </w:tc>
        <w:tc>
          <w:tcPr>
            <w:tcW w:w="310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6"/>
                <w:szCs w:val="16"/>
                <w:color w:val="auto"/>
              </w:rPr>
              <w:t>Interest expense</w:t>
            </w:r>
          </w:p>
        </w:tc>
        <w:tc>
          <w:tcPr>
            <w:tcW w:w="100" w:type="dxa"/>
            <w:vAlign w:val="bottom"/>
          </w:tcPr>
          <w:p>
            <w:pPr>
              <w:spacing w:after="0"/>
              <w:rPr>
                <w:sz w:val="18"/>
                <w:szCs w:val="18"/>
                <w:color w:val="auto"/>
              </w:rPr>
            </w:pPr>
          </w:p>
        </w:tc>
        <w:tc>
          <w:tcPr>
            <w:tcW w:w="1280" w:type="dxa"/>
            <w:vAlign w:val="bottom"/>
            <w:tcBorders>
              <w:top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ind w:left="1100"/>
              <w:spacing w:after="0"/>
              <w:rPr>
                <w:sz w:val="20"/>
                <w:szCs w:val="20"/>
                <w:color w:val="auto"/>
              </w:rPr>
            </w:pPr>
            <w:r>
              <w:rPr>
                <w:rFonts w:ascii="Times New Roman" w:cs="Times New Roman" w:eastAsia="Times New Roman" w:hAnsi="Times New Roman"/>
                <w:sz w:val="16"/>
                <w:szCs w:val="16"/>
                <w:color w:val="auto"/>
              </w:rPr>
              <w:t>—</w:t>
            </w:r>
          </w:p>
        </w:tc>
      </w:tr>
    </w:tbl>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Non-recurring Fair Value Measurements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certain assets that are measured at fair value on a non-recurring basis when impairment indicators are present or when the Company completes an acquisition. The Company adjusts certain long-lived assets to fair value only when the carrying values exceed the fair values. The categorization of the framework used to value the assets is considered Level 3, due to the subjective nature of the unobservable inputs used to determine the fair value. These assets that are subject to our impairment analysis primarily include our definite lived and indefinite lived intangible assets, including Goodwill and our Property, plant and equipment. The Company reviews Goodwill and other indefinite lived assets for impairment as of the first day of the fourth fiscal quarter each year and more frequently if impairment indicators exist. As a result of the fiscal 2024 assessment, the Company recorded an impairment charge of $172 million. No impairment indicators were identified in the current quarter.</w:t>
      </w:r>
    </w:p>
    <w:p>
      <w:pPr>
        <w:spacing w:after="0" w:line="212"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18"/>
          <w:szCs w:val="18"/>
          <w:color w:val="auto"/>
        </w:rPr>
        <w:t>Included in the following tables are the major categories of assets and their current carrying values, along with the impairment loss recognized on the fair value measurement for the period then 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1" w:name="page12"/>
    <w:bookmarkEnd w:id="11"/>
    <w:tbl>
      <w:tblPr>
        <w:tblLayout w:type="fixed"/>
        <w:tblInd w:w="20" w:type="dxa"/>
        <w:tblCellMar>
          <w:top w:w="0" w:type="dxa"/>
          <w:left w:w="0" w:type="dxa"/>
          <w:bottom w:w="0" w:type="dxa"/>
          <w:right w:w="0" w:type="dxa"/>
        </w:tblCellMar>
      </w:tblPr>
      <w:tr>
        <w:trPr>
          <w:trHeight w:val="215"/>
        </w:trPr>
        <w:tc>
          <w:tcPr>
            <w:tcW w:w="34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r>
      <w:tr>
        <w:trPr>
          <w:trHeight w:val="209"/>
        </w:trPr>
        <w:tc>
          <w:tcPr>
            <w:tcW w:w="3480" w:type="dxa"/>
            <w:vAlign w:val="bottom"/>
          </w:tcPr>
          <w:p>
            <w:pPr>
              <w:spacing w:after="0"/>
              <w:rPr>
                <w:sz w:val="18"/>
                <w:szCs w:val="18"/>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200" w:type="dxa"/>
            <w:vAlign w:val="bottom"/>
          </w:tcPr>
          <w:p>
            <w:pPr>
              <w:spacing w:after="0"/>
              <w:rPr>
                <w:sz w:val="18"/>
                <w:szCs w:val="18"/>
                <w:color w:val="auto"/>
              </w:rPr>
            </w:pPr>
          </w:p>
        </w:tc>
        <w:tc>
          <w:tcPr>
            <w:tcW w:w="12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Impairment</w:t>
            </w:r>
          </w:p>
        </w:tc>
      </w:tr>
      <w:tr>
        <w:trPr>
          <w:trHeight w:val="210"/>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Indefinite-lived trademarks</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7"/>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10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30"/>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Definite lived intangible assets</w:t>
            </w:r>
          </w:p>
        </w:tc>
        <w:tc>
          <w:tcPr>
            <w:tcW w:w="110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42"/>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10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12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1,519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2,409</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2,409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578"/>
        </w:trPr>
        <w:tc>
          <w:tcPr>
            <w:tcW w:w="348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6"/>
                <w:szCs w:val="16"/>
                <w:color w:val="auto"/>
              </w:rPr>
              <w:t>September 28, 2024</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207"/>
        </w:trPr>
        <w:tc>
          <w:tcPr>
            <w:tcW w:w="3480" w:type="dxa"/>
            <w:vAlign w:val="bottom"/>
          </w:tcPr>
          <w:p>
            <w:pPr>
              <w:spacing w:after="0"/>
              <w:rPr>
                <w:sz w:val="17"/>
                <w:szCs w:val="17"/>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Level 1</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Level 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color w:val="auto"/>
                <w:w w:val="99"/>
              </w:rPr>
              <w:t>Level 3</w:t>
            </w:r>
          </w:p>
        </w:tc>
        <w:tc>
          <w:tcPr>
            <w:tcW w:w="340" w:type="dxa"/>
            <w:vAlign w:val="bottom"/>
          </w:tcPr>
          <w:p>
            <w:pPr>
              <w:spacing w:after="0"/>
              <w:rPr>
                <w:sz w:val="17"/>
                <w:szCs w:val="17"/>
                <w:color w:val="auto"/>
              </w:rPr>
            </w:pPr>
          </w:p>
        </w:tc>
        <w:tc>
          <w:tcPr>
            <w:tcW w:w="12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Pr>
          <w:p>
            <w:pPr>
              <w:spacing w:after="0"/>
              <w:rPr>
                <w:sz w:val="17"/>
                <w:szCs w:val="17"/>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Impairment</w:t>
            </w:r>
          </w:p>
        </w:tc>
      </w:tr>
      <w:tr>
        <w:trPr>
          <w:trHeight w:val="209"/>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Indefinite-lived trademarks</w:t>
            </w:r>
          </w:p>
        </w:tc>
        <w:tc>
          <w:tcPr>
            <w:tcW w:w="1100" w:type="dxa"/>
            <w:vAlign w:val="bottom"/>
            <w:tcBorders>
              <w:top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120" w:type="dxa"/>
            <w:vAlign w:val="bottom"/>
            <w:tcBorders>
              <w:top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110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29"/>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Definite lived intangible assets</w:t>
            </w:r>
          </w:p>
        </w:tc>
        <w:tc>
          <w:tcPr>
            <w:tcW w:w="1100" w:type="dxa"/>
            <w:vAlign w:val="bottom"/>
          </w:tcPr>
          <w:p>
            <w:pPr>
              <w:spacing w:after="0"/>
              <w:rPr>
                <w:sz w:val="19"/>
                <w:szCs w:val="19"/>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9"/>
                <w:szCs w:val="19"/>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4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100" w:type="dxa"/>
            <w:vAlign w:val="bottom"/>
          </w:tcPr>
          <w:p>
            <w:pPr>
              <w:spacing w:after="0"/>
              <w:rPr>
                <w:sz w:val="21"/>
                <w:szCs w:val="21"/>
                <w:color w:val="auto"/>
              </w:rPr>
            </w:pPr>
          </w:p>
        </w:tc>
        <w:tc>
          <w:tcPr>
            <w:tcW w:w="46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21"/>
                <w:szCs w:val="21"/>
                <w:color w:val="auto"/>
              </w:rPr>
            </w:pP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top w:val="single" w:sz="8" w:color="auto"/>
              <w:bottom w:val="single" w:sz="8" w:color="auto"/>
            </w:tcBorders>
          </w:tcPr>
          <w:p>
            <w:pPr>
              <w:jc w:val="right"/>
              <w:ind w:right="91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ind w:right="939"/>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r>
    </w:tbl>
    <w:p>
      <w:pPr>
        <w:spacing w:after="0" w:line="29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The Company’s financial instruments consist primarily of cash and cash equivalents, long-term debt, cross-currency swap agreements, and finance lease obligations. The book value of our marketable long-term indebtedness exceeded fair value by $77 million as of March 29, 2025. The Company’s long-term debt fair values were determined using Level 2 inputs (substantially observable).</w:t>
      </w:r>
    </w:p>
    <w:p>
      <w:pPr>
        <w:spacing w:after="0" w:line="294"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43"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YTD effective income tax rate was unfavorably impacted by the jurisdictional mix of pre-tax results among the Company and its subsidiaries and losses, which generate no tax benefit in domestic and certain foreign jurisdictions.</w:t>
      </w:r>
    </w:p>
    <w:p>
      <w:pPr>
        <w:spacing w:after="0" w:line="279"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and Geographic Data</w:t>
      </w:r>
    </w:p>
    <w:p>
      <w:pPr>
        <w:spacing w:after="0" w:line="22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Company’s operations are organized into two operating and reportable segments: Americas and Rest of World. The structure is designed to align us with our customers, provide improved service, drive future growth, and to facilitate synergy realization.</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information by reportable segment is presented in the following tables: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Two Quarterly Periods Ended</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30, 2024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40" w:type="dxa"/>
            <w:vAlign w:val="bottom"/>
          </w:tcPr>
          <w:p>
            <w:pPr>
              <w:spacing w:after="0"/>
              <w:rPr>
                <w:sz w:val="18"/>
                <w:szCs w:val="18"/>
                <w:color w:val="auto"/>
              </w:rPr>
            </w:pPr>
          </w:p>
        </w:tc>
        <w:tc>
          <w:tcPr>
            <w:tcW w:w="15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March 30, 2024</w:t>
            </w:r>
          </w:p>
        </w:tc>
        <w:tc>
          <w:tcPr>
            <w:tcW w:w="0" w:type="dxa"/>
            <w:vAlign w:val="bottom"/>
          </w:tcPr>
          <w:p>
            <w:pPr>
              <w:spacing w:after="0"/>
              <w:rPr>
                <w:sz w:val="1"/>
                <w:szCs w:val="1"/>
                <w:color w:val="auto"/>
              </w:rPr>
            </w:pPr>
          </w:p>
        </w:tc>
      </w:tr>
      <w:tr>
        <w:trPr>
          <w:trHeight w:val="31"/>
        </w:trPr>
        <w:tc>
          <w:tcPr>
            <w:tcW w:w="3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vMerge w:val="continue"/>
          </w:tcPr>
          <w:p>
            <w:pPr>
              <w:spacing w:after="0"/>
              <w:rPr>
                <w:sz w:val="16"/>
                <w:szCs w:val="16"/>
                <w:color w:val="auto"/>
              </w:rPr>
            </w:pPr>
          </w:p>
        </w:tc>
        <w:tc>
          <w:tcPr>
            <w:tcW w:w="1480" w:type="dxa"/>
            <w:vAlign w:val="bottom"/>
            <w:vMerge w:val="restart"/>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473</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893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Americas</w:t>
            </w:r>
          </w:p>
        </w:tc>
        <w:tc>
          <w:tcPr>
            <w:tcW w:w="14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0" w:type="dxa"/>
            <w:vAlign w:val="bottom"/>
          </w:tcPr>
          <w:p>
            <w:pPr>
              <w:spacing w:after="0"/>
              <w:rPr>
                <w:sz w:val="1"/>
                <w:szCs w:val="1"/>
                <w:color w:val="auto"/>
              </w:rPr>
            </w:pPr>
          </w:p>
        </w:tc>
      </w:tr>
      <w:tr>
        <w:trPr>
          <w:trHeight w:val="21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1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351</w:t>
            </w: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3"/>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net sales</w:t>
            </w:r>
          </w:p>
        </w:tc>
        <w:tc>
          <w:tcPr>
            <w:tcW w:w="1480" w:type="dxa"/>
            <w:vAlign w:val="bottom"/>
            <w:tcBorders>
              <w:bottom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824</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Operating income (loss)</w:t>
            </w: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37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Americas</w:t>
            </w: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w:t>
            </w:r>
          </w:p>
        </w:tc>
        <w:tc>
          <w:tcPr>
            <w:tcW w:w="100" w:type="dxa"/>
            <w:vAlign w:val="bottom"/>
          </w:tcPr>
          <w:p>
            <w:pPr>
              <w:spacing w:after="0"/>
              <w:rPr>
                <w:sz w:val="18"/>
                <w:szCs w:val="18"/>
                <w:color w:val="auto"/>
              </w:rPr>
            </w:pPr>
          </w:p>
        </w:tc>
        <w:tc>
          <w:tcPr>
            <w:tcW w:w="146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1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3"/>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operating income (loss)</w:t>
            </w:r>
          </w:p>
        </w:tc>
        <w:tc>
          <w:tcPr>
            <w:tcW w:w="1480" w:type="dxa"/>
            <w:vAlign w:val="bottom"/>
            <w:tcBorders>
              <w:bottom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3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3700" w:type="dxa"/>
            <w:vAlign w:val="bottom"/>
            <w:vMerge w:val="continue"/>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Americas</w:t>
            </w:r>
          </w:p>
        </w:tc>
        <w:tc>
          <w:tcPr>
            <w:tcW w:w="1480" w:type="dxa"/>
            <w:vAlign w:val="bottom"/>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00" w:type="dxa"/>
            <w:vAlign w:val="bottom"/>
          </w:tcPr>
          <w:p>
            <w:pPr>
              <w:spacing w:after="0"/>
              <w:rPr>
                <w:sz w:val="18"/>
                <w:szCs w:val="18"/>
                <w:color w:val="auto"/>
              </w:rPr>
            </w:pPr>
          </w:p>
        </w:tc>
        <w:tc>
          <w:tcPr>
            <w:tcW w:w="146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1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19</w:t>
            </w: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3"/>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depreciation and amortization</w:t>
            </w:r>
          </w:p>
        </w:tc>
        <w:tc>
          <w:tcPr>
            <w:tcW w:w="1480" w:type="dxa"/>
            <w:vAlign w:val="bottom"/>
            <w:tcBorders>
              <w:bottom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111</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Selected information by geographical region is presented in the following table:</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3360" w:type="dxa"/>
            <w:vAlign w:val="bottom"/>
            <w:tcBorders>
              <w:bottom w:val="single" w:sz="8" w:color="auto"/>
            </w:tcBorders>
            <w:gridSpan w:val="4"/>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3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Two Quarterly Periods Ended</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March 30, 2024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40" w:type="dxa"/>
            <w:vAlign w:val="bottom"/>
          </w:tcPr>
          <w:p>
            <w:pPr>
              <w:spacing w:after="0"/>
              <w:rPr>
                <w:sz w:val="18"/>
                <w:szCs w:val="18"/>
                <w:color w:val="auto"/>
              </w:rPr>
            </w:pPr>
          </w:p>
        </w:tc>
        <w:tc>
          <w:tcPr>
            <w:tcW w:w="156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March 30, 2024</w:t>
            </w:r>
          </w:p>
        </w:tc>
        <w:tc>
          <w:tcPr>
            <w:tcW w:w="0" w:type="dxa"/>
            <w:vAlign w:val="bottom"/>
          </w:tcPr>
          <w:p>
            <w:pPr>
              <w:spacing w:after="0"/>
              <w:rPr>
                <w:sz w:val="1"/>
                <w:szCs w:val="1"/>
                <w:color w:val="auto"/>
              </w:rPr>
            </w:pPr>
          </w:p>
        </w:tc>
      </w:tr>
      <w:tr>
        <w:trPr>
          <w:trHeight w:val="31"/>
        </w:trPr>
        <w:tc>
          <w:tcPr>
            <w:tcW w:w="3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4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vMerge w:val="continue"/>
          </w:tcPr>
          <w:p>
            <w:pPr>
              <w:spacing w:after="0"/>
              <w:rPr>
                <w:sz w:val="16"/>
                <w:szCs w:val="16"/>
                <w:color w:val="auto"/>
              </w:rPr>
            </w:pPr>
          </w:p>
        </w:tc>
        <w:tc>
          <w:tcPr>
            <w:tcW w:w="1480" w:type="dxa"/>
            <w:vAlign w:val="bottom"/>
            <w:vMerge w:val="restart"/>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367</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673</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United States and Canada</w:t>
            </w:r>
          </w:p>
        </w:tc>
        <w:tc>
          <w:tcPr>
            <w:tcW w:w="1480" w:type="dxa"/>
            <w:vAlign w:val="bottom"/>
            <w:vMerge w:val="continue"/>
          </w:tcPr>
          <w:p>
            <w:pPr>
              <w:spacing w:after="0"/>
              <w:rPr>
                <w:sz w:val="18"/>
                <w:szCs w:val="18"/>
                <w:color w:val="auto"/>
              </w:rPr>
            </w:pPr>
          </w:p>
        </w:tc>
        <w:tc>
          <w:tcPr>
            <w:tcW w:w="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w:t>
            </w:r>
          </w:p>
        </w:tc>
        <w:tc>
          <w:tcPr>
            <w:tcW w:w="8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w:t>
            </w:r>
          </w:p>
        </w:tc>
        <w:tc>
          <w:tcPr>
            <w:tcW w:w="0" w:type="dxa"/>
            <w:vAlign w:val="bottom"/>
          </w:tcPr>
          <w:p>
            <w:pPr>
              <w:spacing w:after="0"/>
              <w:rPr>
                <w:sz w:val="1"/>
                <w:szCs w:val="1"/>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Latin America</w:t>
            </w:r>
          </w:p>
        </w:tc>
        <w:tc>
          <w:tcPr>
            <w:tcW w:w="14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106</w:t>
            </w: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8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9"/>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Rest of World</w:t>
            </w:r>
          </w:p>
        </w:tc>
        <w:tc>
          <w:tcPr>
            <w:tcW w:w="14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351</w:t>
            </w:r>
          </w:p>
        </w:tc>
        <w:tc>
          <w:tcPr>
            <w:tcW w:w="10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633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13"/>
        </w:trPr>
        <w:tc>
          <w:tcPr>
            <w:tcW w:w="37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net sales</w:t>
            </w:r>
          </w:p>
        </w:tc>
        <w:tc>
          <w:tcPr>
            <w:tcW w:w="1480" w:type="dxa"/>
            <w:vAlign w:val="bottom"/>
            <w:tcBorders>
              <w:bottom w:val="single" w:sz="8" w:color="auto"/>
            </w:tcBorders>
          </w:tcPr>
          <w:p>
            <w:pPr>
              <w:jc w:val="right"/>
              <w:ind w:right="129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824</w:t>
            </w:r>
          </w:p>
        </w:tc>
        <w:tc>
          <w:tcPr>
            <w:tcW w:w="100" w:type="dxa"/>
            <w:vAlign w:val="bottom"/>
          </w:tcPr>
          <w:p>
            <w:pPr>
              <w:spacing w:after="0"/>
              <w:rPr>
                <w:sz w:val="18"/>
                <w:szCs w:val="18"/>
                <w:color w:val="auto"/>
              </w:rPr>
            </w:pPr>
          </w:p>
        </w:tc>
        <w:tc>
          <w:tcPr>
            <w:tcW w:w="1460" w:type="dxa"/>
            <w:vAlign w:val="bottom"/>
            <w:tcBorders>
              <w:bottom w:val="single" w:sz="8" w:color="auto"/>
            </w:tcBorders>
          </w:tcPr>
          <w:p>
            <w:pPr>
              <w:jc w:val="right"/>
              <w:ind w:right="127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1,526</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Selected information by category is presented in the following tables:</w:t>
      </w:r>
    </w:p>
    <w:p>
      <w:pPr>
        <w:spacing w:after="0" w:line="5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3460" w:type="dxa"/>
            <w:vAlign w:val="bottom"/>
          </w:tcPr>
          <w:p>
            <w:pPr>
              <w:spacing w:after="0"/>
              <w:rPr>
                <w:sz w:val="18"/>
                <w:szCs w:val="18"/>
                <w:color w:val="auto"/>
              </w:rPr>
            </w:pPr>
          </w:p>
        </w:tc>
        <w:tc>
          <w:tcPr>
            <w:tcW w:w="3440" w:type="dxa"/>
            <w:vAlign w:val="bottom"/>
            <w:tcBorders>
              <w:bottom w:val="single" w:sz="8" w:color="auto"/>
            </w:tcBorders>
            <w:gridSpan w:val="4"/>
          </w:tcPr>
          <w:p>
            <w:pPr>
              <w:ind w:left="1060"/>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840" w:type="dxa"/>
            <w:vAlign w:val="bottom"/>
            <w:tcBorders>
              <w:bottom w:val="single" w:sz="8" w:color="auto"/>
            </w:tcBorders>
            <w:gridSpan w:val="3"/>
          </w:tcPr>
          <w:p>
            <w:pPr>
              <w:jc w:val="right"/>
              <w:ind w:right="799"/>
              <w:spacing w:after="0"/>
              <w:rPr>
                <w:sz w:val="20"/>
                <w:szCs w:val="20"/>
                <w:color w:val="auto"/>
              </w:rPr>
            </w:pPr>
            <w:r>
              <w:rPr>
                <w:rFonts w:ascii="Times New Roman" w:cs="Times New Roman" w:eastAsia="Times New Roman" w:hAnsi="Times New Roman"/>
                <w:sz w:val="16"/>
                <w:szCs w:val="16"/>
                <w:b w:val="1"/>
                <w:bCs w:val="1"/>
                <w:color w:val="auto"/>
              </w:rPr>
              <w:t>Two Quarterly Periods Ended</w:t>
            </w:r>
          </w:p>
        </w:tc>
        <w:tc>
          <w:tcPr>
            <w:tcW w:w="0" w:type="dxa"/>
            <w:vAlign w:val="bottom"/>
          </w:tcPr>
          <w:p>
            <w:pPr>
              <w:spacing w:after="0"/>
              <w:rPr>
                <w:sz w:val="1"/>
                <w:szCs w:val="1"/>
                <w:color w:val="auto"/>
              </w:rPr>
            </w:pPr>
          </w:p>
        </w:tc>
      </w:tr>
      <w:tr>
        <w:trPr>
          <w:trHeight w:val="209"/>
        </w:trPr>
        <w:tc>
          <w:tcPr>
            <w:tcW w:w="3460" w:type="dxa"/>
            <w:vAlign w:val="bottom"/>
          </w:tcPr>
          <w:p>
            <w:pPr>
              <w:spacing w:after="0"/>
              <w:rPr>
                <w:sz w:val="18"/>
                <w:szCs w:val="18"/>
                <w:color w:val="auto"/>
              </w:rPr>
            </w:pPr>
          </w:p>
        </w:tc>
        <w:tc>
          <w:tcPr>
            <w:tcW w:w="1480" w:type="dxa"/>
            <w:vAlign w:val="bottom"/>
          </w:tcPr>
          <w:p>
            <w:pPr>
              <w:ind w:left="400"/>
              <w:spacing w:after="0"/>
              <w:rPr>
                <w:sz w:val="20"/>
                <w:szCs w:val="20"/>
                <w:color w:val="auto"/>
              </w:rPr>
            </w:pPr>
            <w:r>
              <w:rPr>
                <w:rFonts w:ascii="Times New Roman" w:cs="Times New Roman" w:eastAsia="Times New Roman" w:hAnsi="Times New Roman"/>
                <w:sz w:val="16"/>
                <w:szCs w:val="16"/>
                <w:b w:val="1"/>
                <w:bCs w:val="1"/>
                <w:color w:val="auto"/>
                <w:w w:val="99"/>
              </w:rPr>
              <w:t>March 29, 2025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March 30, 2024</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18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March 30, 2024</w:t>
            </w:r>
          </w:p>
        </w:tc>
        <w:tc>
          <w:tcPr>
            <w:tcW w:w="0" w:type="dxa"/>
            <w:vAlign w:val="bottom"/>
          </w:tcPr>
          <w:p>
            <w:pPr>
              <w:spacing w:after="0"/>
              <w:rPr>
                <w:sz w:val="1"/>
                <w:szCs w:val="1"/>
                <w:color w:val="auto"/>
              </w:rPr>
            </w:pPr>
          </w:p>
        </w:tc>
      </w:tr>
      <w:tr>
        <w:trPr>
          <w:trHeight w:val="31"/>
        </w:trPr>
        <w:tc>
          <w:tcPr>
            <w:tcW w:w="34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Net Sales</w:t>
            </w:r>
          </w:p>
        </w:tc>
        <w:tc>
          <w:tcPr>
            <w:tcW w:w="14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46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50 %</w:t>
            </w:r>
          </w:p>
        </w:tc>
        <w:tc>
          <w:tcPr>
            <w:tcW w:w="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52 %</w:t>
            </w: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Personal Care</w:t>
            </w:r>
          </w:p>
        </w:tc>
        <w:tc>
          <w:tcPr>
            <w:tcW w:w="4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18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0" w:type="dxa"/>
            <w:vAlign w:val="bottom"/>
          </w:tcPr>
          <w:p>
            <w:pPr>
              <w:spacing w:after="0"/>
              <w:rPr>
                <w:sz w:val="1"/>
                <w:szCs w:val="1"/>
                <w:color w:val="auto"/>
              </w:rPr>
            </w:pPr>
          </w:p>
        </w:tc>
      </w:tr>
      <w:tr>
        <w:trPr>
          <w:trHeight w:val="216"/>
        </w:trPr>
        <w:tc>
          <w:tcPr>
            <w:tcW w:w="49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Consumer Solutions</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50 %</w:t>
            </w:r>
          </w:p>
        </w:tc>
        <w:tc>
          <w:tcPr>
            <w:tcW w:w="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10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48 %</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480" w:hanging="472"/>
        <w:spacing w:after="0"/>
        <w:tabs>
          <w:tab w:leader="none" w:pos="48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43" w:lineRule="exact"/>
        <w:rPr>
          <w:sz w:val="20"/>
          <w:szCs w:val="20"/>
          <w:color w:val="auto"/>
        </w:rPr>
      </w:pPr>
    </w:p>
    <w:p>
      <w:pPr>
        <w:jc w:val="both"/>
        <w:ind w:right="580"/>
        <w:spacing w:after="0" w:line="250" w:lineRule="auto"/>
        <w:rPr>
          <w:sz w:val="20"/>
          <w:szCs w:val="20"/>
          <w:color w:val="auto"/>
        </w:rPr>
      </w:pPr>
      <w:r>
        <w:rPr>
          <w:rFonts w:ascii="Times New Roman" w:cs="Times New Roman" w:eastAsia="Times New Roman" w:hAnsi="Times New Roman"/>
          <w:sz w:val="18"/>
          <w:szCs w:val="18"/>
          <w:color w:val="auto"/>
        </w:rPr>
        <w:t>The Company is party to various legal proceedings involving routine claims which are incidental to its business. Although the Company’s legal and financial liability with respect to such proceedings cannot be estimated with certainty, the Company believes that any ultimate liability would not be material to its consolidated and combined financial position, results of operations or cash flows.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Claims</w:t>
      </w:r>
    </w:p>
    <w:p>
      <w:pPr>
        <w:spacing w:after="0" w:line="243" w:lineRule="exact"/>
        <w:rPr>
          <w:sz w:val="20"/>
          <w:szCs w:val="20"/>
          <w:color w:val="auto"/>
        </w:rPr>
      </w:pPr>
    </w:p>
    <w:p>
      <w:pPr>
        <w:ind w:right="320"/>
        <w:spacing w:after="0" w:line="250" w:lineRule="auto"/>
        <w:rPr>
          <w:sz w:val="20"/>
          <w:szCs w:val="20"/>
          <w:color w:val="auto"/>
        </w:rPr>
      </w:pPr>
      <w:r>
        <w:rPr>
          <w:rFonts w:ascii="Times New Roman" w:cs="Times New Roman" w:eastAsia="Times New Roman" w:hAnsi="Times New Roman"/>
          <w:sz w:val="18"/>
          <w:szCs w:val="18"/>
          <w:color w:val="auto"/>
        </w:rPr>
        <w:t>Over the next 30 years, we are primarily responsible for the reimbursement of government oversight costs associated with certain environmental claims regarding the Fox River located in Neenah, Wisconsin. At March 29, 2025, the outstanding balance of the environmental liability and corresponding escrow asset was $14 million and $9 million,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Claims</w:t>
      </w:r>
    </w:p>
    <w:p>
      <w:pPr>
        <w:spacing w:after="0" w:line="243"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7"/>
          <w:szCs w:val="17"/>
          <w:color w:val="auto"/>
        </w:rPr>
        <w:t>As part of a previous acquisition, the Company acquired a liability related to certain tax claims treated as a deferred purchase price (the “Deferred Consideration”). The Deferred Consideration accretes at a rate of 9.5% per annum compounded daily, which shall be paid to the selling stockholders of the previous acquisition to the extent certain existing and potential tax claims are resolved. At March 29, 2025 and March 30, 2024, the outstanding balance of the Deferred Consideration was $53 million and $55 million, respectively. If the Company incurs actual tax liability with respect to the tax claims, the amount of the Deferred Consideration owed to the selling stockholders will be reduced by the amount of such actual tax liability. The Company will be responsible for any actual tax liability in excess of the Deferred Consideration. The Deferred Consideration is reflected on the consolidated and combined balance sheets in Other long-term liabilities as the settlement of existing and potential claims is expected to be greater than one year.</w:t>
      </w:r>
    </w:p>
    <w:p>
      <w:pPr>
        <w:spacing w:after="0" w:line="214" w:lineRule="exact"/>
        <w:rPr>
          <w:sz w:val="20"/>
          <w:szCs w:val="20"/>
          <w:color w:val="auto"/>
        </w:rPr>
      </w:pPr>
    </w:p>
    <w:p>
      <w:pPr>
        <w:ind w:left="480" w:hanging="472"/>
        <w:spacing w:after="0"/>
        <w:tabs>
          <w:tab w:leader="none" w:pos="4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Income (Loss) Per Share</w:t>
      </w:r>
    </w:p>
    <w:p>
      <w:pPr>
        <w:spacing w:after="0" w:line="243" w:lineRule="exact"/>
        <w:rPr>
          <w:sz w:val="20"/>
          <w:szCs w:val="20"/>
          <w:color w:val="auto"/>
        </w:rPr>
      </w:pPr>
    </w:p>
    <w:p>
      <w:pPr>
        <w:ind w:right="420"/>
        <w:spacing w:after="0" w:line="250" w:lineRule="auto"/>
        <w:rPr>
          <w:sz w:val="20"/>
          <w:szCs w:val="20"/>
          <w:color w:val="auto"/>
        </w:rPr>
      </w:pPr>
      <w:r>
        <w:rPr>
          <w:rFonts w:ascii="Times New Roman" w:cs="Times New Roman" w:eastAsia="Times New Roman" w:hAnsi="Times New Roman"/>
          <w:sz w:val="18"/>
          <w:szCs w:val="18"/>
          <w:color w:val="auto"/>
        </w:rPr>
        <w:t>Basic net income or earnings per share ("EPS") is calculated by dividing the net income attributable to common stockholders by the weighted-average number of common shares outstanding during the period, without consideration for common stock equivalents.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provide a reconciliation of the numerator and denominator of the basic and diluted EPS calculations: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3" w:name="page14"/>
    <w:bookmarkEnd w:id="13"/>
    <w:tbl>
      <w:tblPr>
        <w:tblLayout w:type="fixed"/>
        <w:tblInd w:w="20" w:type="dxa"/>
        <w:tblCellMar>
          <w:top w:w="0" w:type="dxa"/>
          <w:left w:w="0" w:type="dxa"/>
          <w:bottom w:w="0" w:type="dxa"/>
          <w:right w:w="0" w:type="dxa"/>
        </w:tblCellMar>
      </w:tblPr>
      <w:tr>
        <w:trPr>
          <w:trHeight w:val="215"/>
        </w:trPr>
        <w:tc>
          <w:tcPr>
            <w:tcW w:w="3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60" w:type="dxa"/>
            <w:vAlign w:val="bottom"/>
            <w:gridSpan w:val="5"/>
          </w:tcPr>
          <w:p>
            <w:pPr>
              <w:ind w:left="780"/>
              <w:spacing w:after="0"/>
              <w:rPr>
                <w:sz w:val="20"/>
                <w:szCs w:val="20"/>
                <w:color w:val="auto"/>
              </w:rPr>
            </w:pPr>
            <w:r>
              <w:rPr>
                <w:rFonts w:ascii="Times New Roman" w:cs="Times New Roman" w:eastAsia="Times New Roman" w:hAnsi="Times New Roman"/>
                <w:sz w:val="16"/>
                <w:szCs w:val="16"/>
                <w:b w:val="1"/>
                <w:bCs w:val="1"/>
                <w:color w:val="auto"/>
              </w:rPr>
              <w:t>Quarterly Period Ended</w:t>
            </w:r>
          </w:p>
        </w:tc>
        <w:tc>
          <w:tcPr>
            <w:tcW w:w="240" w:type="dxa"/>
            <w:vAlign w:val="bottom"/>
          </w:tcPr>
          <w:p>
            <w:pPr>
              <w:spacing w:after="0"/>
              <w:rPr>
                <w:sz w:val="18"/>
                <w:szCs w:val="18"/>
                <w:color w:val="auto"/>
              </w:rPr>
            </w:pPr>
          </w:p>
        </w:tc>
        <w:tc>
          <w:tcPr>
            <w:tcW w:w="3480" w:type="dxa"/>
            <w:vAlign w:val="bottom"/>
            <w:gridSpan w:val="4"/>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Two Quarterly Periods Ended</w:t>
            </w:r>
          </w:p>
        </w:tc>
        <w:tc>
          <w:tcPr>
            <w:tcW w:w="0" w:type="dxa"/>
            <w:vAlign w:val="bottom"/>
          </w:tcPr>
          <w:p>
            <w:pPr>
              <w:spacing w:after="0"/>
              <w:rPr>
                <w:sz w:val="1"/>
                <w:szCs w:val="1"/>
                <w:color w:val="auto"/>
              </w:rPr>
            </w:pPr>
          </w:p>
        </w:tc>
      </w:tr>
      <w:tr>
        <w:trPr>
          <w:trHeight w:val="209"/>
        </w:trPr>
        <w:tc>
          <w:tcPr>
            <w:tcW w:w="3700" w:type="dxa"/>
            <w:vAlign w:val="bottom"/>
          </w:tcPr>
          <w:p>
            <w:pPr>
              <w:spacing w:after="0"/>
              <w:rPr>
                <w:sz w:val="20"/>
                <w:szCs w:val="20"/>
                <w:color w:val="auto"/>
              </w:rPr>
            </w:pPr>
            <w:r>
              <w:rPr>
                <w:rFonts w:ascii="Times New Roman" w:cs="Times New Roman" w:eastAsia="Times New Roman" w:hAnsi="Times New Roman"/>
                <w:sz w:val="14"/>
                <w:szCs w:val="14"/>
                <w:color w:val="auto"/>
              </w:rPr>
              <w:t>(in millions, except share amounts)</w:t>
            </w:r>
          </w:p>
        </w:tc>
        <w:tc>
          <w:tcPr>
            <w:tcW w:w="2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4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rPr>
              <w:t>March 30, 2024</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24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rPr>
              <w:t>March 30, 2024</w:t>
            </w:r>
          </w:p>
        </w:tc>
        <w:tc>
          <w:tcPr>
            <w:tcW w:w="0" w:type="dxa"/>
            <w:vAlign w:val="bottom"/>
          </w:tcPr>
          <w:p>
            <w:pPr>
              <w:spacing w:after="0"/>
              <w:rPr>
                <w:sz w:val="1"/>
                <w:szCs w:val="1"/>
                <w:color w:val="auto"/>
              </w:rPr>
            </w:pPr>
          </w:p>
        </w:tc>
      </w:tr>
      <w:tr>
        <w:trPr>
          <w:trHeight w:val="31"/>
        </w:trPr>
        <w:tc>
          <w:tcPr>
            <w:tcW w:w="37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00" w:type="dxa"/>
            <w:vAlign w:val="bottom"/>
            <w:vMerge w:val="continue"/>
          </w:tcPr>
          <w:p>
            <w:pPr>
              <w:spacing w:after="0"/>
              <w:rPr>
                <w:sz w:val="16"/>
                <w:szCs w:val="16"/>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Consolidated net income (loss)</w:t>
            </w:r>
          </w:p>
        </w:tc>
        <w:tc>
          <w:tcPr>
            <w:tcW w:w="240" w:type="dxa"/>
            <w:vAlign w:val="bottom"/>
            <w:vMerge w:val="continue"/>
          </w:tcPr>
          <w:p>
            <w:pPr>
              <w:spacing w:after="0"/>
              <w:rPr>
                <w:sz w:val="21"/>
                <w:szCs w:val="21"/>
                <w:color w:val="auto"/>
              </w:rPr>
            </w:pPr>
          </w:p>
        </w:tc>
        <w:tc>
          <w:tcPr>
            <w:tcW w:w="15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21"/>
                <w:szCs w:val="21"/>
                <w:color w:val="auto"/>
              </w:rPr>
            </w:pPr>
          </w:p>
        </w:tc>
        <w:tc>
          <w:tcPr>
            <w:tcW w:w="240" w:type="dxa"/>
            <w:vAlign w:val="bottom"/>
            <w:vMerge w:val="continue"/>
          </w:tcPr>
          <w:p>
            <w:pPr>
              <w:spacing w:after="0"/>
              <w:rPr>
                <w:sz w:val="21"/>
                <w:szCs w:val="21"/>
                <w:color w:val="auto"/>
              </w:rPr>
            </w:pPr>
          </w:p>
        </w:tc>
        <w:tc>
          <w:tcPr>
            <w:tcW w:w="158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43"/>
        </w:trPr>
        <w:tc>
          <w:tcPr>
            <w:tcW w:w="37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40" w:type="dxa"/>
            <w:vAlign w:val="bottom"/>
          </w:tcPr>
          <w:p>
            <w:pPr>
              <w:spacing w:after="0"/>
              <w:rPr>
                <w:sz w:val="19"/>
                <w:szCs w:val="19"/>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7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and dilutive</w:t>
            </w:r>
          </w:p>
        </w:tc>
        <w:tc>
          <w:tcPr>
            <w:tcW w:w="2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18"/>
          <w:szCs w:val="18"/>
          <w:color w:val="auto"/>
        </w:rPr>
        <w:t>While there were no shares outstanding in prior periods, an allocation of 90% of the shares as of the completion of the Transaction have been provided for comparability purposes. Shares excluded from the current period calculation, as the effect of their conversion into shares of our common stock would be antidilutive were 1.1 million.</w:t>
      </w:r>
    </w:p>
    <w:p>
      <w:pPr>
        <w:spacing w:after="0" w:line="200" w:lineRule="exact"/>
        <w:rPr>
          <w:sz w:val="20"/>
          <w:szCs w:val="20"/>
          <w:color w:val="auto"/>
        </w:rPr>
      </w:pPr>
    </w:p>
    <w:p>
      <w:pPr>
        <w:ind w:left="460" w:hanging="452"/>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Corporate Expense Allocation</w:t>
      </w:r>
    </w:p>
    <w:p>
      <w:pPr>
        <w:spacing w:after="0" w:line="24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Based on management estimates, $3 million and $9 million of general corporate expenses including information technology, accounting, legal, human resources, and other services were allocated to Treasure periods prior to the Closing Date during the six months ended March 29, 2025 and March 30, 2024, respectively.</w:t>
      </w: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5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Business. </w:t>
      </w:r>
      <w:r>
        <w:rPr>
          <w:rFonts w:ascii="Times New Roman" w:cs="Times New Roman" w:eastAsia="Times New Roman" w:hAnsi="Times New Roman"/>
          <w:sz w:val="18"/>
          <w:szCs w:val="18"/>
          <w:color w:val="auto"/>
        </w:rPr>
        <w:t>The Company’s operations are organized into two operating segments: Americas and Rest of the World. The structure is designed to align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our customers, provide improved service, drive future growth and to facilitate synergy realization. The Americas segment consists of sites in North America and South America that manufacture a wide range of products and components of personal care and consumer solution products and components of products including medical garments, wipes, dryer sheets, face masks, filtration, baby diapers and adult incontinence. The Rest of World segment consists of sites throughout Europe and China that manufacture a broad collection of personal care and consumer solution products and components of products including medical garments, wipes, cable wrap, filtration, baby diapers and adult incontinence.</w:t>
      </w:r>
    </w:p>
    <w:p>
      <w:pPr>
        <w:spacing w:after="0" w:line="21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Raw Material Trends. </w:t>
      </w:r>
      <w:r>
        <w:rPr>
          <w:rFonts w:ascii="Times New Roman" w:cs="Times New Roman" w:eastAsia="Times New Roman" w:hAnsi="Times New Roman"/>
          <w:sz w:val="18"/>
          <w:szCs w:val="18"/>
          <w:color w:val="auto"/>
        </w:rPr>
        <w:t>Our primary raw materials are polymer resin and wood-based fibers and pulps. In addition, we use other materials in various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processes. While temporary industry-wide shortages of raw materials have occurred, we have historically been able to manage the supply chain disruption by working closely with our suppliers and customers. Changes in the price of raw materials are generally passed on to customers through contractual price mechanisms over time, during contract renewals, and other means.</w:t>
      </w:r>
    </w:p>
    <w:p>
      <w:pPr>
        <w:spacing w:after="0" w:line="19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Outlook. </w:t>
      </w:r>
      <w:r>
        <w:rPr>
          <w:rFonts w:ascii="Times New Roman" w:cs="Times New Roman" w:eastAsia="Times New Roman" w:hAnsi="Times New Roman"/>
          <w:sz w:val="18"/>
          <w:szCs w:val="18"/>
          <w:color w:val="auto"/>
        </w:rPr>
        <w:t>The Company is affected by general economic and industrial growth, raw material availability, cost inflation, supply chain disruptions, new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changing tariffs and general industrial production. Our business has both geographic and end market diversity, which reduces the effect of any one of these factors on our overall performance. Our results are affected by our ability to pass through raw material and other cost changes, including tariffs, to our customers, improve manufacturing productivity and adapt to volume changes of our customers. Despite global macro-economic challenges and uncertainties attributed to continued rising inflation, changing tariff policies, currency devaluation and general market softness, we continue to believe our underlying long-term demand fundamental in all divisions will remain strong as we focus on providing advantaged products in targeted markets. For fiscal 2025, we project post-Transaction free cash flow of $75-95 million including $75 million of capital spending. For the calculation of post-Transaction free cash flow and further information related to free cash flow as a non-GAAP financial measure, see “Liquidity and Capital Resources.”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Acquisition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acquisition strategy is focused on improving our long-term financial performance, enhancing our market positions, and expanding our existing and complementary product lines. We seek to obtain businesses for attractive post-synergy multiples, creating value for our stockholders from synergy realization, leveraging the acquired products across our customer base, creating new platforms for future growth, and assuming best practices from the businesses we acquire. While the expected benefits on earnings are estimated at the commencement of each transaction, once the execution of the plan and integration occur, we are generally unable to accurately estimate or track what the ultimate effects have been due to system integrations and movements of activities to multiple facilities. As business combinations and restructuring plans have not allowed us to accurately separate realized synergies compared to what was initially identified, we estimate the synergy realization based on various factors.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Glatfelter</w:t>
      </w:r>
    </w:p>
    <w:p>
      <w:pPr>
        <w:spacing w:after="0" w:line="241" w:lineRule="exact"/>
        <w:rPr>
          <w:sz w:val="20"/>
          <w:szCs w:val="20"/>
          <w:color w:val="auto"/>
        </w:rPr>
      </w:pPr>
    </w:p>
    <w:p>
      <w:pPr>
        <w:ind w:right="460"/>
        <w:spacing w:after="0" w:line="245" w:lineRule="auto"/>
        <w:rPr>
          <w:sz w:val="20"/>
          <w:szCs w:val="20"/>
          <w:color w:val="auto"/>
        </w:rPr>
      </w:pPr>
      <w:r>
        <w:rPr>
          <w:rFonts w:ascii="Times New Roman" w:cs="Times New Roman" w:eastAsia="Times New Roman" w:hAnsi="Times New Roman"/>
          <w:sz w:val="18"/>
          <w:szCs w:val="18"/>
          <w:color w:val="auto"/>
        </w:rPr>
        <w:t>On November 4, 2024, the Transaction was completed with GLT. The Transaction combined GLT’s sustainable solutions and product portfolio with Treasure’s portfolio of proprietary technologies and global scale. The Company is now a global leader in growing markets while serving some of the world’s largest brand owners. The Company expects to realize annual synergies of $55 million net of incremental standalone costs. See Note 3— Acquisition.</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52"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b w:val="1"/>
          <w:bCs w:val="1"/>
          <w:color w:val="auto"/>
        </w:rPr>
        <w:t>Comparison of the Quarterly Period Ended March 29, 2025 (the “Quarter”) and the Quarterly Period Ended March 30, 2024 (the “Prior Quarter”)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integration expenses consist of restructuring and impairment charges, acquisition/merger related costs, and other business optimization costs.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Tables present dollars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65" w:right="4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Overview</w:t>
            </w: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63"/>
        </w:trPr>
        <w:tc>
          <w:tcPr>
            <w:tcW w:w="50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Prior Quarter</w:t>
            </w:r>
          </w:p>
        </w:tc>
        <w:tc>
          <w:tcPr>
            <w:tcW w:w="24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Change</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r>
      <w:tr>
        <w:trPr>
          <w:trHeight w:val="25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10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317"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Net sales: </w:t>
      </w:r>
      <w:r>
        <w:rPr>
          <w:rFonts w:ascii="Times New Roman" w:cs="Times New Roman" w:eastAsia="Times New Roman" w:hAnsi="Times New Roman"/>
          <w:sz w:val="17"/>
          <w:szCs w:val="17"/>
          <w:color w:val="auto"/>
        </w:rPr>
        <w:t>The net sales increase included revenue from the Transaction of $311 million which was partially offset by a $26 million unfavorable impact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foreign currency changes, a $14 million decrease in selling prices and a 1% organic volume decline which was attributed to general market softness.</w:t>
      </w:r>
    </w:p>
    <w:p>
      <w:pPr>
        <w:spacing w:after="0" w:line="163"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Operating income (loss): </w:t>
      </w:r>
      <w:r>
        <w:rPr>
          <w:rFonts w:ascii="Times New Roman" w:cs="Times New Roman" w:eastAsia="Times New Roman" w:hAnsi="Times New Roman"/>
          <w:sz w:val="17"/>
          <w:szCs w:val="17"/>
          <w:color w:val="auto"/>
        </w:rPr>
        <w:t>The operating income decline included a $8 million unfavorable impact from increased business integration costs, a $4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loss from equipment disposals, losses from the acquired GLT business of $6 million, a $3 million unfavorable impact from foreign currency changes and an unfavorable impact from price cost spread of $3 million, partially offset by the elimination of $5 million in corporate expense allocations in Prior Quarter.</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Americas</w:t>
            </w: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63"/>
        </w:trPr>
        <w:tc>
          <w:tcPr>
            <w:tcW w:w="50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Prior Quarter</w:t>
            </w:r>
          </w:p>
        </w:tc>
        <w:tc>
          <w:tcPr>
            <w:tcW w:w="24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Change</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473</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80" w:type="dxa"/>
            <w:vAlign w:val="bottom"/>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5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10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bl>
    <w:p>
      <w:pPr>
        <w:spacing w:after="0" w:line="200" w:lineRule="exact"/>
        <w:rPr>
          <w:sz w:val="20"/>
          <w:szCs w:val="20"/>
          <w:color w:val="auto"/>
        </w:rPr>
      </w:pPr>
    </w:p>
    <w:p>
      <w:pPr>
        <w:spacing w:after="0" w:line="23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net sales increase in the Americas segment included revenue from the Transaction of $124 million partially offset by decreased selling prices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$12 million and a $15 million unfavorable impact from foreign currency changes.</w:t>
      </w:r>
    </w:p>
    <w:p>
      <w:pPr>
        <w:spacing w:after="0" w:line="186" w:lineRule="exact"/>
        <w:rPr>
          <w:sz w:val="20"/>
          <w:szCs w:val="20"/>
          <w:color w:val="auto"/>
        </w:rPr>
      </w:pPr>
    </w:p>
    <w:p>
      <w:pPr>
        <w:ind w:right="1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The operating income decline included an $8 million unfavorable impact from increased business integration costs, losses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acquired GLT business of $3 million, a $2 million unfavorable impact from foreign currency changes and an unfavorable impact from price cost spread of $3 million, partially offset by the elimination of $5 million in corporate expense allocations in Prior Quarter.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85"/>
        </w:trPr>
        <w:tc>
          <w:tcPr>
            <w:tcW w:w="50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Prior Quarter</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Change</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060" w:type="dxa"/>
            <w:vAlign w:val="bottom"/>
            <w:tcBorders>
              <w:top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351</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57"/>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income (loss)</w:t>
            </w:r>
          </w:p>
        </w:tc>
        <w:tc>
          <w:tcPr>
            <w:tcW w:w="106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r>
    </w:tbl>
    <w:p>
      <w:pPr>
        <w:spacing w:after="0" w:line="317"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net sales increase included revenue from the Transaction of $187 million which was partially offset by a $11 million unfavorable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foreign currency changes and a 3% organic volume decline.</w:t>
      </w:r>
    </w:p>
    <w:p>
      <w:pPr>
        <w:spacing w:after="0" w:line="186"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Operating income (loss): </w:t>
      </w:r>
      <w:r>
        <w:rPr>
          <w:rFonts w:ascii="Times New Roman" w:cs="Times New Roman" w:eastAsia="Times New Roman" w:hAnsi="Times New Roman"/>
          <w:sz w:val="18"/>
          <w:szCs w:val="18"/>
          <w:color w:val="auto"/>
        </w:rPr>
        <w:t>The operating loss change includes losses from the acquired GLT business of $3 million, a $4 million loss from equipment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disposals and an unfavorable impact from foreign currency changes.</w:t>
      </w:r>
    </w:p>
    <w:p>
      <w:pPr>
        <w:spacing w:after="0" w:line="184"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w:t>
      </w:r>
      <w:r>
        <w:rPr>
          <w:rFonts w:ascii="Times New Roman" w:cs="Times New Roman" w:eastAsia="Times New Roman" w:hAnsi="Times New Roman"/>
          <w:sz w:val="18"/>
          <w:szCs w:val="18"/>
          <w:color w:val="auto"/>
        </w:rPr>
        <w:t>The increase in other expense is due to $7 million of non cash charges associated with pre Transaction tax liabilities, offset by currency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movements related to intercompany loans.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The interest expense increase is primarily attributed to debt that was incurred concurrently with the closing of the Transaction.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Comprehensive Income</w:t>
      </w:r>
    </w:p>
    <w:p>
      <w:pPr>
        <w:spacing w:after="0" w:line="229"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The $6 million increase in comprehensive loss from the Prior Quarter is attributed to a $47 million favorable change in currency translation offset by a $53 million increased net loss. Currency translation changes are primarily related to non-U.S. subsidiaries with a functional currency other than the U.S. dollar, whereby assets and liabilities are translated from the respective functional currency into U.S. dollars using period-end exchange rates. The change in currency translation in the Quarter was primarily attributed to locations utilizing the Euro and Brazilian real as their functional currency. As part of its overall risk management, the Company uses derivative instruments to reduce foreign currency exposure to translation of certain foreign operations. The Company records changes to the fair value of these instruments in Accumulated other comprehensive loss. The change in fair value of these instruments in the Quarter is primarily attributed to the change in the forward foreign exchange curves between measurement dates.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p>
      <w:pPr>
        <w:ind w:right="40"/>
        <w:spacing w:after="0" w:line="271" w:lineRule="auto"/>
        <w:rPr>
          <w:sz w:val="20"/>
          <w:szCs w:val="20"/>
          <w:color w:val="auto"/>
        </w:rPr>
      </w:pPr>
      <w:r>
        <w:rPr>
          <w:rFonts w:ascii="Times New Roman" w:cs="Times New Roman" w:eastAsia="Times New Roman" w:hAnsi="Times New Roman"/>
          <w:sz w:val="18"/>
          <w:szCs w:val="18"/>
          <w:b w:val="1"/>
          <w:bCs w:val="1"/>
          <w:color w:val="auto"/>
        </w:rPr>
        <w:t>Comparison of the Two Quarterly Periods Ended March 29, 2025 (the “YTD”) and the Two Quarterly Periods Ended March 30, 2024 (the “Prior YTD”)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integration expenses consist of restructuring and impairment charges, acquisition/merger related costs, and other business optimization costs.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Tables present dollars 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Overview</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63"/>
        </w:trPr>
        <w:tc>
          <w:tcPr>
            <w:tcW w:w="502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YTD</w:t>
            </w: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Prior YTD</w:t>
            </w:r>
          </w:p>
        </w:tc>
        <w:tc>
          <w:tcPr>
            <w:tcW w:w="24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Change</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94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1,526</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449</w:t>
            </w:r>
          </w:p>
        </w:tc>
        <w:tc>
          <w:tcPr>
            <w:tcW w:w="80" w:type="dxa"/>
            <w:vAlign w:val="bottom"/>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57"/>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income (loss)</w:t>
            </w:r>
          </w:p>
        </w:tc>
        <w:tc>
          <w:tcPr>
            <w:tcW w:w="940" w:type="dxa"/>
            <w:vAlign w:val="bottom"/>
          </w:tcPr>
          <w:p>
            <w:pPr>
              <w:spacing w:after="0"/>
              <w:rPr>
                <w:sz w:val="22"/>
                <w:szCs w:val="2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bl>
    <w:p>
      <w:pPr>
        <w:spacing w:after="0" w:line="30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net sales increase included revenue from the Transaction of $497 million, which were partially offset by a $40 million unfavorable impact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foreign currency changes and a 1% organic volume decline which was attributed to general market softness.</w:t>
      </w:r>
    </w:p>
    <w:p>
      <w:pPr>
        <w:spacing w:after="0" w:line="186" w:lineRule="exact"/>
        <w:rPr>
          <w:sz w:val="20"/>
          <w:szCs w:val="20"/>
          <w:color w:val="auto"/>
        </w:rPr>
      </w:pPr>
    </w:p>
    <w:p>
      <w:pPr>
        <w:ind w:right="24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Operating income (loss): </w:t>
      </w:r>
      <w:r>
        <w:rPr>
          <w:rFonts w:ascii="Times New Roman" w:cs="Times New Roman" w:eastAsia="Times New Roman" w:hAnsi="Times New Roman"/>
          <w:sz w:val="18"/>
          <w:szCs w:val="18"/>
          <w:color w:val="auto"/>
        </w:rPr>
        <w:t>The operating loss increase included a $12 million inventory fair value step-up charge, a $17 million unfavorable impact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business integration costs, a $4 million loss from equipment disposals, losses from the acquired GLT business of $9 million and a $7 million unfavorable impact from foreign currency changes partially offset by a $15 million favorable change from prior year hyperinflation in our Argentinian subsidiary and the elimination of $6 million in corporate expense allocations in Prior 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Americas</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63"/>
        </w:trPr>
        <w:tc>
          <w:tcPr>
            <w:tcW w:w="502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YTD</w:t>
            </w:r>
          </w:p>
        </w:tc>
        <w:tc>
          <w:tcPr>
            <w:tcW w:w="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Prior YTD</w:t>
            </w:r>
          </w:p>
        </w:tc>
        <w:tc>
          <w:tcPr>
            <w:tcW w:w="24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Change</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893</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24 %</w:t>
            </w:r>
          </w:p>
        </w:tc>
      </w:tr>
      <w:tr>
        <w:trPr>
          <w:trHeight w:val="25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income</w:t>
            </w:r>
          </w:p>
        </w:tc>
        <w:tc>
          <w:tcPr>
            <w:tcW w:w="100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bl>
    <w:p>
      <w:pPr>
        <w:spacing w:after="0" w:line="317"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net sales increase in the Americas segment included revenue from the Transaction of $194 million which were partially offset by a $28</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unfavorable impact from foreign currency changes.</w:t>
      </w:r>
    </w:p>
    <w:p>
      <w:pPr>
        <w:spacing w:after="0" w:line="186"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Operating income: </w:t>
      </w:r>
      <w:r>
        <w:rPr>
          <w:rFonts w:ascii="Times New Roman" w:cs="Times New Roman" w:eastAsia="Times New Roman" w:hAnsi="Times New Roman"/>
          <w:sz w:val="18"/>
          <w:szCs w:val="18"/>
          <w:color w:val="auto"/>
        </w:rPr>
        <w:t>The operating income decrease included an $18 million unfavorable impact from increased business integration costs, a $5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inventory fair value step-up charge, losses from the acquired GLT business of $4 million and a $6 million unfavorable impact from foreign currency changes partially offset by a $15 million favorable change from prior year hyperinflation in our Argentinian subsidiary and the elimination of $6 million in corporate expense allocations in Prior Year.</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Rest of World</w:t>
            </w: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85"/>
        </w:trPr>
        <w:tc>
          <w:tcPr>
            <w:tcW w:w="50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YTD</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Prior YTD</w:t>
            </w:r>
          </w:p>
        </w:tc>
        <w:tc>
          <w:tcPr>
            <w:tcW w:w="240" w:type="dxa"/>
            <w:vAlign w:val="bottom"/>
          </w:tcPr>
          <w:p>
            <w:pPr>
              <w:spacing w:after="0"/>
              <w:rPr>
                <w:sz w:val="24"/>
                <w:szCs w:val="2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 Change</w:t>
            </w:r>
          </w:p>
        </w:tc>
        <w:tc>
          <w:tcPr>
            <w:tcW w:w="15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 Change</w:t>
            </w:r>
          </w:p>
        </w:tc>
      </w:tr>
      <w:tr>
        <w:trPr>
          <w:trHeight w:val="243"/>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sales</w:t>
            </w:r>
          </w:p>
        </w:tc>
        <w:tc>
          <w:tcPr>
            <w:tcW w:w="1000" w:type="dxa"/>
            <w:vAlign w:val="bottom"/>
            <w:tcBorders>
              <w:top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633</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00" w:type="dxa"/>
            <w:vAlign w:val="bottom"/>
          </w:tcPr>
          <w:p>
            <w:pPr>
              <w:spacing w:after="0"/>
              <w:rPr>
                <w:sz w:val="21"/>
                <w:szCs w:val="21"/>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rPr>
              <w:t>279</w:t>
            </w:r>
          </w:p>
        </w:tc>
        <w:tc>
          <w:tcPr>
            <w:tcW w:w="80" w:type="dxa"/>
            <w:vAlign w:val="bottom"/>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56"/>
        </w:trPr>
        <w:tc>
          <w:tcPr>
            <w:tcW w:w="5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loss</w:t>
            </w:r>
          </w:p>
        </w:tc>
        <w:tc>
          <w:tcPr>
            <w:tcW w:w="1000" w:type="dxa"/>
            <w:vAlign w:val="bottom"/>
          </w:tcPr>
          <w:p>
            <w:pPr>
              <w:spacing w:after="0"/>
              <w:rPr>
                <w:sz w:val="22"/>
                <w:szCs w:val="22"/>
                <w:color w:val="auto"/>
              </w:rPr>
            </w:pPr>
          </w:p>
        </w:tc>
        <w:tc>
          <w:tcPr>
            <w:tcW w:w="4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(19)</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(11)</w:t>
            </w:r>
          </w:p>
        </w:tc>
        <w:tc>
          <w:tcPr>
            <w:tcW w:w="8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138 %</w:t>
            </w:r>
          </w:p>
        </w:tc>
      </w:tr>
    </w:tbl>
    <w:p>
      <w:pPr>
        <w:spacing w:after="0" w:line="31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The net sales increase in the Rest of World segment included revenue from the Transaction of $303 million which were partially offset by a $12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unfavorable impact from foreign currency changes and a 3% organic volume decline.</w:t>
      </w:r>
    </w:p>
    <w:p>
      <w:pPr>
        <w:spacing w:after="0" w:line="186" w:lineRule="exact"/>
        <w:rPr>
          <w:sz w:val="20"/>
          <w:szCs w:val="20"/>
          <w:color w:val="auto"/>
        </w:rPr>
      </w:pPr>
    </w:p>
    <w:p>
      <w:pPr>
        <w:ind w:right="40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Operating loss: </w:t>
      </w:r>
      <w:r>
        <w:rPr>
          <w:rFonts w:ascii="Times New Roman" w:cs="Times New Roman" w:eastAsia="Times New Roman" w:hAnsi="Times New Roman"/>
          <w:sz w:val="18"/>
          <w:szCs w:val="18"/>
          <w:color w:val="auto"/>
        </w:rPr>
        <w:t>The operating loss increase included a $7 million inventory fair value step-up charge, a $4 million loss from equipment disposals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from the acquired Glatfelter business of $5 million partially offset by a favorable impact from price cost spread.</w:t>
      </w:r>
    </w:p>
    <w:p>
      <w:pPr>
        <w:spacing w:after="0" w:line="184" w:lineRule="exact"/>
        <w:rPr>
          <w:sz w:val="20"/>
          <w:szCs w:val="20"/>
          <w:color w:val="auto"/>
        </w:rPr>
      </w:pPr>
    </w:p>
    <w:p>
      <w:pPr>
        <w:ind w:right="28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expense: </w:t>
      </w:r>
      <w:r>
        <w:rPr>
          <w:rFonts w:ascii="Times New Roman" w:cs="Times New Roman" w:eastAsia="Times New Roman" w:hAnsi="Times New Roman"/>
          <w:sz w:val="18"/>
          <w:szCs w:val="18"/>
          <w:color w:val="auto"/>
        </w:rPr>
        <w:t>The increase in other expense is due to a $15 million prepayment penalty charge for retiring debt concurrently with the Transaction, $7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of non-cash charges associated with pre-Transaction tax liabilities, and currency losses related to intercompany loans.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w:t>
      </w:r>
      <w:r>
        <w:rPr>
          <w:rFonts w:ascii="Times New Roman" w:cs="Times New Roman" w:eastAsia="Times New Roman" w:hAnsi="Times New Roman"/>
          <w:sz w:val="18"/>
          <w:szCs w:val="18"/>
          <w:color w:val="auto"/>
        </w:rPr>
        <w:t>The interest expense increase is primarily attributed to debt that was incurred concurrently with the closing of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14" w:right="3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Comprehensive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$168 million decline in comprehensive income from the Prior YTD is attributed to a $63 million unfavorable change in currency translation and a</w:t>
      </w:r>
    </w:p>
    <w:p>
      <w:pPr>
        <w:spacing w:after="0" w:line="16"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8"/>
          <w:szCs w:val="18"/>
          <w:color w:val="auto"/>
        </w:rPr>
        <w:t>$105 million increased net loss. Currency translation changes are primarily related to non-U.S. subsidiaries with a functional currency other than the U.S. dollar whereby assets and liabilities are translated from the respective functional currency into U.S. dollars using period-end exchange rates. The change in currency translation in the Quarter was primarily attributed to locations utilizing the Euro and Brazilian real as their functional currency. As part of its overall risk management, the Company uses derivative instruments to reduce foreign currency exposure to translation of certain foreign operations. The Company records changes to the fair value of these instruments in Accumulated other comprehensive loss. The change in fair value of these instruments in the quarter is primarily attributed to the change in the forward foreign exchange curves between measurement dates.</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Senior Secured Credit Facility</w:t>
      </w:r>
    </w:p>
    <w:p>
      <w:pPr>
        <w:spacing w:after="0" w:line="254"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18"/>
          <w:szCs w:val="18"/>
          <w:color w:val="auto"/>
        </w:rPr>
        <w:t>We manage our global cash requirements considering (i) available funds among the many subsidiaries through which we conduct business, (ii) the geographic location of our liquidity needs, and (iii) the cost to access international cash balances. At the end of the Quarter, the Company had no outstanding balance on its asset-based revolving line of credit that matures in November 2029. The Company was in compliance with all covenants at the end of the Quarter.</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254"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Net cash from operating activities increased $14 million from the Prior YTD primarily related to improved working capital being partially offset by $19 million of charges related to the Transaction.</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cash from investing activities increased $33 million from the Prior YTD primarily attributed to cash acquired in connection with the Transaction and settlement of net investment hedges in the YTD compared to the settlement of short-term marketable securities in Prior YTD.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from financing activities increased $25 million from Prior YTD primarily attributed to higher transfers from Berry prior to the Transaction.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consolidated free cash flow for the YTD are summarized as follows:</w:t>
      </w:r>
    </w:p>
    <w:p>
      <w:pPr>
        <w:spacing w:after="0" w:line="39"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7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March 29, 2025</w:t>
            </w:r>
          </w:p>
        </w:tc>
        <w:tc>
          <w:tcPr>
            <w:tcW w:w="0" w:type="dxa"/>
            <w:vAlign w:val="bottom"/>
          </w:tcPr>
          <w:p>
            <w:pPr>
              <w:spacing w:after="0"/>
              <w:rPr>
                <w:sz w:val="1"/>
                <w:szCs w:val="1"/>
                <w:color w:val="auto"/>
              </w:rPr>
            </w:pPr>
          </w:p>
        </w:tc>
      </w:tr>
      <w:tr>
        <w:trPr>
          <w:trHeight w:val="33"/>
        </w:trPr>
        <w:tc>
          <w:tcPr>
            <w:tcW w:w="77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Cash flow from operating activities</w:t>
            </w: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770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0" w:type="dxa"/>
            <w:vAlign w:val="bottom"/>
          </w:tcPr>
          <w:p>
            <w:pPr>
              <w:spacing w:after="0"/>
              <w:rPr>
                <w:sz w:val="1"/>
                <w:szCs w:val="1"/>
                <w:color w:val="auto"/>
              </w:rPr>
            </w:pPr>
          </w:p>
        </w:tc>
      </w:tr>
      <w:tr>
        <w:trPr>
          <w:trHeight w:val="271"/>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Pre-Transaction free cash flow from operating activities </w:t>
            </w:r>
            <w:r>
              <w:rPr>
                <w:rFonts w:ascii="Times New Roman" w:cs="Times New Roman" w:eastAsia="Times New Roman" w:hAnsi="Times New Roman"/>
                <w:sz w:val="21"/>
                <w:szCs w:val="21"/>
                <w:color w:val="auto"/>
                <w:vertAlign w:val="superscript"/>
              </w:rPr>
              <w:t>(1)</w:t>
            </w:r>
          </w:p>
        </w:tc>
        <w:tc>
          <w:tcPr>
            <w:tcW w:w="24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0" w:type="dxa"/>
            <w:vAlign w:val="bottom"/>
          </w:tcPr>
          <w:p>
            <w:pPr>
              <w:spacing w:after="0"/>
              <w:rPr>
                <w:sz w:val="1"/>
                <w:szCs w:val="1"/>
                <w:color w:val="auto"/>
              </w:rPr>
            </w:pPr>
          </w:p>
        </w:tc>
      </w:tr>
      <w:tr>
        <w:trPr>
          <w:trHeight w:val="212"/>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Additions to property, plant and equipment</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w:t>
            </w:r>
          </w:p>
        </w:tc>
        <w:tc>
          <w:tcPr>
            <w:tcW w:w="0" w:type="dxa"/>
            <w:vAlign w:val="bottom"/>
          </w:tcPr>
          <w:p>
            <w:pPr>
              <w:spacing w:after="0"/>
              <w:rPr>
                <w:sz w:val="1"/>
                <w:szCs w:val="1"/>
                <w:color w:val="auto"/>
              </w:rPr>
            </w:pPr>
          </w:p>
        </w:tc>
      </w:tr>
      <w:tr>
        <w:trPr>
          <w:trHeight w:val="33"/>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7700" w:type="dxa"/>
            <w:vAlign w:val="bottom"/>
          </w:tcPr>
          <w:p>
            <w:pPr>
              <w:spacing w:after="0"/>
              <w:rPr>
                <w:sz w:val="20"/>
                <w:szCs w:val="20"/>
                <w:color w:val="auto"/>
              </w:rPr>
            </w:pPr>
            <w:r>
              <w:rPr>
                <w:rFonts w:ascii="Times New Roman" w:cs="Times New Roman" w:eastAsia="Times New Roman" w:hAnsi="Times New Roman"/>
                <w:sz w:val="16"/>
                <w:szCs w:val="16"/>
                <w:color w:val="auto"/>
              </w:rPr>
              <w:t>Post-Transaction free cash flow</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0" w:type="dxa"/>
            <w:vAlign w:val="bottom"/>
          </w:tcPr>
          <w:p>
            <w:pPr>
              <w:spacing w:after="0"/>
              <w:rPr>
                <w:sz w:val="1"/>
                <w:szCs w:val="1"/>
                <w:color w:val="auto"/>
              </w:rPr>
            </w:pPr>
          </w:p>
        </w:tc>
      </w:tr>
      <w:tr>
        <w:trPr>
          <w:trHeight w:val="24"/>
        </w:trPr>
        <w:tc>
          <w:tcPr>
            <w:tcW w:w="7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4"/>
          <w:szCs w:val="14"/>
          <w:color w:val="auto"/>
        </w:rPr>
        <w:t>Pre-merger cash flow includes pre-Transaction cash from operations and other cash payments burdened by the Transaction.</w:t>
      </w:r>
    </w:p>
    <w:p>
      <w:pPr>
        <w:spacing w:after="0" w:line="15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use free cash flow metrics as a supplemental measure of liquidity as it assists us in assessing our ability to fund growth through generation of cash. Free cash flow metrics may be calculated differently by other companies, including other companies in our industry or peer group, limiting its usefulness on a comparative basis. Free cash flow metrics are not a financial measure presented in accordance with GAAP and should not be considered as an alternative to any other measure determined in accordance with GAAP.</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Outlook</w:t>
      </w:r>
    </w:p>
    <w:p>
      <w:pPr>
        <w:spacing w:after="0" w:line="241"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8"/>
          <w:szCs w:val="18"/>
          <w:color w:val="auto"/>
        </w:rPr>
        <w:t>At March 29, 2025, our cash balance was $283 million, which was primarily located outside the U.S. We believe our existing U.S. based cash and cash flow from U.S. operations, together with available borrowings under our senior secured credit facilities, will be adequate to meet our short-term and long-term liquidity needs with the exception of funds needed to cover all long-term debt obligations, which we intend to refinance prior to maturity. The Company has the ability to repatriate the cash located outside the U.S. to the extent not needed to meet operational and capital needs without significant restrictions.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5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primarily through our senior secured credit facilities and accounts receivable supply chain financing programs. Our senior secured credit facilities are comprised of (i) $783 million Term Loan and (ii) the $350 million Revolving Credit Facility with no borrowings outstanding. Borrowings under our senior secured credit facilities bear interest at a rate equal to an applicable margin plus SOFR. The applicable margin for SOFR rate borrowings under the Revolving Credit Facility ranges from 1.50% to 2.00%, and the margin for the Term Loan is 4.25% per annum. As of period end, the SOFR rate of approximately 4.34% was applicable to the Term Loan. A change of 0.25% on these floating interest rate exposures would increase our annual interest expense by approximately $2 million.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1"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As a global company, we face foreign currency risk exposure from fluctuating currency exchange rates, primarily the U.S. dollar against the Euro, British pound sterling, Brazilian real, Chinese renminbi, Canadian dollar and Mexican peso. Significant fluctuations in currency rates can have a substantial impact, either positive or negative, on our revenue, cost of sales, and operating expenses. Currency translation gains and losses are primarily related to non-U.S. subsidiaries with a functional currency other than U.S. dollars whereby assets and liabilities are translated from the respective functional currency into U.S. dollars using period-end exchange rates and impact our Comprehensive income. A 10% decline in foreign currency exchange rates would have had a $1 million unfavorable impact on our Net income for the quarterly period ended March 29, 2025. See Note 7—Financial Instruments and Fair Value Measurements.</w:t>
      </w: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applicable SEC regulations, management of a reporting company, with the participation of the principal executive officer and principal financial officer, must periodically evaluate the company’s “disclosure controls and procedures,” which are defined generally as controls and other procedures of a reporting company designed to ensure that information required to be disclosed by the reporting company in its periodic reports filed with the commission (such as this Form 10-Q) is recorded, processed, summarized, and reported on a timely basis.</w:t>
      </w:r>
    </w:p>
    <w:p>
      <w:pPr>
        <w:spacing w:after="0" w:line="20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Company’s management, with the participation of the Chief Executive Officer and the Chief Financial Officer, carried out an evaluation of the effectiveness of the design and operation of the disclosure controls and procedures as of the end of the period covered by this report. Based on this evaluation, our Chief Executive Officer and Chief Financial Officer concluded that the design and operation of our disclosure controls and procedures were effective at the reasonable assurance level as of the end of the period covered by this report.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2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As part of the Transaction’s transition services agreement, the Company will rely on Berry’s systems and processes through the integration period. In November 2024, Berry announced the intent to merge with Amcor plc. Ramifications to the Company, if any, as a result of the Berry/Amcor merger are being assessed and we will continue to evaluate the potential impacts to the transition services provided by Berry and closely monitor developments as they arise.</w:t>
      </w:r>
    </w:p>
    <w:p>
      <w:pPr>
        <w:spacing w:after="0" w:line="208" w:lineRule="exact"/>
        <w:rPr>
          <w:sz w:val="20"/>
          <w:szCs w:val="20"/>
          <w:color w:val="auto"/>
        </w:rPr>
      </w:pPr>
    </w:p>
    <w:p>
      <w:pPr>
        <w:ind w:right="240"/>
        <w:spacing w:after="0" w:line="250" w:lineRule="auto"/>
        <w:rPr>
          <w:sz w:val="20"/>
          <w:szCs w:val="20"/>
          <w:color w:val="auto"/>
        </w:rPr>
      </w:pPr>
      <w:r>
        <w:rPr>
          <w:rFonts w:ascii="Times New Roman" w:cs="Times New Roman" w:eastAsia="Times New Roman" w:hAnsi="Times New Roman"/>
          <w:sz w:val="18"/>
          <w:szCs w:val="18"/>
          <w:color w:val="auto"/>
        </w:rPr>
        <w:t>Other than in connection with the Transaction and the proposed merger of Berry and Amcor, there were no changes in our internal control over financial reporting that occurred during the Quarter that have materially affected, or are reasonably likely to materially affect, our internal control over financial reporting.</w:t>
      </w: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See the discussion of legal proceedings contained in Note 10—Contingencies and Commitments to our unaudited consolidated financial statements in Part I, Item 1 of this report, which is incorporated herein by reference.</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3"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8"/>
          <w:szCs w:val="18"/>
          <w:color w:val="auto"/>
        </w:rPr>
        <w:t>Before investing in our securities, we recommend that investors carefully consider the risks described in our annual reports on Form 10-K, quarterly reports on Form 10-Q, current reports on Form 8-K, including our Form 8-K/A filed on January 31, 2024, and other documents filed with the SEC. Realization of any of these risks could have a material adverse effect on our business, financial condition, cash flows and results of operations. Except as follows, there have been no material changes to the risk factors included in our SEC filings.</w:t>
      </w:r>
    </w:p>
    <w:p>
      <w:pPr>
        <w:spacing w:after="0" w:line="221"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Additionally, we caution readers that the list of risk factors discussed in our SEC filings may not contain all of the material factors that are important to you. In addition, in light of these risks and uncertainties, the matters referred to in the forward-looking statements contained in this report may not in fact occur. Accordingly, readers should not place undue reliance on those statements.</w:t>
      </w:r>
    </w:p>
    <w:p>
      <w:pPr>
        <w:spacing w:after="0" w:line="19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are exposed to various risks due to economic, political and social instabilities, market volatility, natural disasters, debt and credit issues, currency controls, new or increased tariffs, foreign exchange and interest rate changes. These risks can negatively impact our net sales, net earnings and cash flows.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exhibits are filed or furnished herewith or incorporated by reference as indicated.</w:t>
      </w:r>
    </w:p>
    <w:p>
      <w:pPr>
        <w:spacing w:after="0" w:line="69"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700" w:type="dxa"/>
            <w:vAlign w:val="bottom"/>
          </w:tcPr>
          <w:p>
            <w:pPr>
              <w:spacing w:after="0"/>
              <w:rPr>
                <w:sz w:val="16"/>
                <w:szCs w:val="16"/>
                <w:color w:val="auto"/>
              </w:rPr>
            </w:pPr>
          </w:p>
        </w:tc>
        <w:tc>
          <w:tcPr>
            <w:tcW w:w="9580" w:type="dxa"/>
            <w:vAlign w:val="bottom"/>
          </w:tcPr>
          <w:p>
            <w:pPr>
              <w:ind w:left="7940"/>
              <w:spacing w:after="0"/>
              <w:rPr>
                <w:sz w:val="20"/>
                <w:szCs w:val="20"/>
                <w:color w:val="auto"/>
              </w:rPr>
            </w:pPr>
            <w:r>
              <w:rPr>
                <w:rFonts w:ascii="Times New Roman" w:cs="Times New Roman" w:eastAsia="Times New Roman" w:hAnsi="Times New Roman"/>
                <w:sz w:val="14"/>
                <w:szCs w:val="14"/>
                <w:color w:val="auto"/>
              </w:rPr>
              <w:t>Incorporated by reference to</w:t>
            </w:r>
          </w:p>
        </w:tc>
        <w:tc>
          <w:tcPr>
            <w:tcW w:w="0" w:type="dxa"/>
            <w:vAlign w:val="bottom"/>
          </w:tcPr>
          <w:p>
            <w:pPr>
              <w:spacing w:after="0"/>
              <w:rPr>
                <w:sz w:val="1"/>
                <w:szCs w:val="1"/>
                <w:color w:val="auto"/>
              </w:rPr>
            </w:pPr>
          </w:p>
        </w:tc>
      </w:tr>
      <w:tr>
        <w:trPr>
          <w:trHeight w:val="190"/>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w:t>
            </w:r>
          </w:p>
        </w:tc>
        <w:tc>
          <w:tcPr>
            <w:tcW w:w="9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Amendment No. 1 to the Asset-Based Revolving Credit Agreement, dated November 4, 2024, by and among Treasure</w:t>
            </w:r>
          </w:p>
        </w:tc>
        <w:tc>
          <w:tcPr>
            <w:tcW w:w="0" w:type="dxa"/>
            <w:vAlign w:val="bottom"/>
          </w:tcPr>
          <w:p>
            <w:pPr>
              <w:spacing w:after="0"/>
              <w:rPr>
                <w:sz w:val="1"/>
                <w:szCs w:val="1"/>
                <w:color w:val="auto"/>
              </w:rPr>
            </w:pPr>
          </w:p>
        </w:tc>
      </w:tr>
      <w:tr>
        <w:trPr>
          <w:trHeight w:val="162"/>
        </w:trPr>
        <w:tc>
          <w:tcPr>
            <w:tcW w:w="700" w:type="dxa"/>
            <w:vAlign w:val="bottom"/>
          </w:tcPr>
          <w:p>
            <w:pPr>
              <w:spacing w:after="0"/>
              <w:rPr>
                <w:sz w:val="14"/>
                <w:szCs w:val="14"/>
                <w:color w:val="auto"/>
              </w:rPr>
            </w:pPr>
          </w:p>
        </w:tc>
        <w:tc>
          <w:tcPr>
            <w:tcW w:w="9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Holdco, Inc., Magnera Corporation, certain subsidiaries of Magnera, the lenders party thereto and Wells Fargo Bank,</w:t>
            </w:r>
          </w:p>
        </w:tc>
        <w:tc>
          <w:tcPr>
            <w:tcW w:w="0" w:type="dxa"/>
            <w:vAlign w:val="bottom"/>
          </w:tcPr>
          <w:p>
            <w:pPr>
              <w:spacing w:after="0"/>
              <w:rPr>
                <w:sz w:val="1"/>
                <w:szCs w:val="1"/>
                <w:color w:val="auto"/>
              </w:rPr>
            </w:pPr>
          </w:p>
        </w:tc>
      </w:tr>
      <w:tr>
        <w:trPr>
          <w:trHeight w:val="188"/>
        </w:trPr>
        <w:tc>
          <w:tcPr>
            <w:tcW w:w="700" w:type="dxa"/>
            <w:vAlign w:val="bottom"/>
          </w:tcPr>
          <w:p>
            <w:pPr>
              <w:spacing w:after="0"/>
              <w:rPr>
                <w:sz w:val="16"/>
                <w:szCs w:val="16"/>
                <w:color w:val="auto"/>
              </w:rPr>
            </w:pPr>
          </w:p>
        </w:tc>
        <w:tc>
          <w:tcPr>
            <w:tcW w:w="9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National Association as administrative agent, collateral agent and U.K. security trustee for the lenders.</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31.1*</w:t>
            </w:r>
          </w:p>
        </w:tc>
        <w:tc>
          <w:tcPr>
            <w:tcW w:w="9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Rule 13a-14(a)/15d-14(a) Certification of the Chief Executive Officer.</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31.2*</w:t>
            </w:r>
          </w:p>
        </w:tc>
        <w:tc>
          <w:tcPr>
            <w:tcW w:w="9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Rule 13a-14(a)/15d-14(a) Certification of the Chief Financial Officer.</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32.1**</w:t>
            </w:r>
          </w:p>
        </w:tc>
        <w:tc>
          <w:tcPr>
            <w:tcW w:w="9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Section 1350 Certification of the Chief Executive Officer.</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32.2**</w:t>
            </w:r>
          </w:p>
        </w:tc>
        <w:tc>
          <w:tcPr>
            <w:tcW w:w="9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Section 1350 Certification of the Chief Financial Officer.</w:t>
            </w:r>
          </w:p>
        </w:tc>
        <w:tc>
          <w:tcPr>
            <w:tcW w:w="0" w:type="dxa"/>
            <w:vAlign w:val="bottom"/>
          </w:tcPr>
          <w:p>
            <w:pPr>
              <w:spacing w:after="0"/>
              <w:rPr>
                <w:sz w:val="1"/>
                <w:szCs w:val="1"/>
                <w:color w:val="auto"/>
              </w:rPr>
            </w:pPr>
          </w:p>
        </w:tc>
      </w:tr>
      <w:tr>
        <w:trPr>
          <w:trHeight w:val="158"/>
        </w:trPr>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101.INS</w:t>
            </w:r>
          </w:p>
        </w:tc>
        <w:tc>
          <w:tcPr>
            <w:tcW w:w="9580" w:type="dxa"/>
            <w:vAlign w:val="bottom"/>
          </w:tcPr>
          <w:p>
            <w:pPr>
              <w:ind w:left="180"/>
              <w:spacing w:after="0" w:line="159" w:lineRule="exact"/>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its</w:t>
            </w:r>
          </w:p>
        </w:tc>
        <w:tc>
          <w:tcPr>
            <w:tcW w:w="0" w:type="dxa"/>
            <w:vAlign w:val="bottom"/>
          </w:tcPr>
          <w:p>
            <w:pPr>
              <w:spacing w:after="0"/>
              <w:rPr>
                <w:sz w:val="1"/>
                <w:szCs w:val="1"/>
                <w:color w:val="auto"/>
              </w:rPr>
            </w:pPr>
          </w:p>
        </w:tc>
      </w:tr>
      <w:tr>
        <w:trPr>
          <w:trHeight w:val="188"/>
        </w:trPr>
        <w:tc>
          <w:tcPr>
            <w:tcW w:w="700" w:type="dxa"/>
            <w:vAlign w:val="bottom"/>
            <w:vMerge w:val="continue"/>
          </w:tcPr>
          <w:p>
            <w:pPr>
              <w:spacing w:after="0"/>
              <w:rPr>
                <w:sz w:val="16"/>
                <w:szCs w:val="16"/>
                <w:color w:val="auto"/>
              </w:rPr>
            </w:pPr>
          </w:p>
        </w:tc>
        <w:tc>
          <w:tcPr>
            <w:tcW w:w="9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iXBRL tags are embedded within the Inline XBRL document.</w:t>
            </w:r>
          </w:p>
        </w:tc>
        <w:tc>
          <w:tcPr>
            <w:tcW w:w="0" w:type="dxa"/>
            <w:vAlign w:val="bottom"/>
          </w:tcPr>
          <w:p>
            <w:pPr>
              <w:spacing w:after="0"/>
              <w:rPr>
                <w:sz w:val="1"/>
                <w:szCs w:val="1"/>
                <w:color w:val="auto"/>
              </w:rPr>
            </w:pPr>
          </w:p>
        </w:tc>
      </w:tr>
      <w:tr>
        <w:trPr>
          <w:trHeight w:val="19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9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Taxonomy Extension Schema.</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101.CAL</w:t>
            </w:r>
          </w:p>
        </w:tc>
        <w:tc>
          <w:tcPr>
            <w:tcW w:w="9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Extension Calculation Linkbase.</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101.DEF</w:t>
            </w:r>
          </w:p>
        </w:tc>
        <w:tc>
          <w:tcPr>
            <w:tcW w:w="9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Extension Definition Linkbase.</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101.LAB</w:t>
            </w:r>
          </w:p>
        </w:tc>
        <w:tc>
          <w:tcPr>
            <w:tcW w:w="9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Extension Label Linkbase.</w:t>
            </w:r>
          </w:p>
        </w:tc>
        <w:tc>
          <w:tcPr>
            <w:tcW w:w="0" w:type="dxa"/>
            <w:vAlign w:val="bottom"/>
          </w:tcPr>
          <w:p>
            <w:pPr>
              <w:spacing w:after="0"/>
              <w:rPr>
                <w:sz w:val="1"/>
                <w:szCs w:val="1"/>
                <w:color w:val="auto"/>
              </w:rPr>
            </w:pPr>
          </w:p>
        </w:tc>
      </w:tr>
      <w:tr>
        <w:trPr>
          <w:trHeight w:val="203"/>
        </w:trPr>
        <w:tc>
          <w:tcPr>
            <w:tcW w:w="700" w:type="dxa"/>
            <w:vAlign w:val="bottom"/>
          </w:tcPr>
          <w:p>
            <w:pPr>
              <w:spacing w:after="0"/>
              <w:rPr>
                <w:sz w:val="20"/>
                <w:szCs w:val="20"/>
                <w:color w:val="auto"/>
              </w:rPr>
            </w:pPr>
            <w:r>
              <w:rPr>
                <w:rFonts w:ascii="Times New Roman" w:cs="Times New Roman" w:eastAsia="Times New Roman" w:hAnsi="Times New Roman"/>
                <w:sz w:val="14"/>
                <w:szCs w:val="14"/>
                <w:color w:val="auto"/>
              </w:rPr>
              <w:t>101.PRE</w:t>
            </w:r>
          </w:p>
        </w:tc>
        <w:tc>
          <w:tcPr>
            <w:tcW w:w="95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Inline XBRL Extension Presentation Linkbase.</w:t>
            </w:r>
          </w:p>
        </w:tc>
        <w:tc>
          <w:tcPr>
            <w:tcW w:w="0" w:type="dxa"/>
            <w:vAlign w:val="bottom"/>
          </w:tcPr>
          <w:p>
            <w:pPr>
              <w:spacing w:after="0"/>
              <w:rPr>
                <w:sz w:val="1"/>
                <w:szCs w:val="1"/>
                <w:color w:val="auto"/>
              </w:rPr>
            </w:pPr>
          </w:p>
        </w:tc>
      </w:tr>
    </w:tbl>
    <w:p>
      <w:pPr>
        <w:spacing w:after="0" w:line="14" w:lineRule="exact"/>
        <w:rPr>
          <w:sz w:val="20"/>
          <w:szCs w:val="20"/>
          <w:color w:val="auto"/>
        </w:rPr>
      </w:pPr>
    </w:p>
    <w:p>
      <w:pPr>
        <w:ind w:left="900" w:hanging="874"/>
        <w:spacing w:after="0"/>
        <w:tabs>
          <w:tab w:leader="none" w:pos="90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an inline XBRL and contained in Exhibit 101).</w:t>
      </w:r>
    </w:p>
    <w:p>
      <w:pPr>
        <w:spacing w:after="0" w:line="347"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 Filed herewith</w:t>
      </w:r>
    </w:p>
    <w:p>
      <w:pPr>
        <w:spacing w:after="0" w:line="2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Furnished herewith</w:t>
      </w:r>
    </w:p>
    <w:p>
      <w:pPr>
        <w:spacing w:after="0" w:line="347" w:lineRule="exact"/>
        <w:rPr>
          <w:rFonts w:ascii="Times New Roman" w:cs="Times New Roman" w:eastAsia="Times New Roman" w:hAnsi="Times New Roman"/>
          <w:sz w:val="16"/>
          <w:szCs w:val="16"/>
          <w:color w:val="auto"/>
        </w:rPr>
      </w:pPr>
    </w:p>
    <w:p>
      <w:pPr>
        <w:ind w:left="5540" w:hanging="111"/>
        <w:spacing w:after="0"/>
        <w:tabs>
          <w:tab w:leader="none" w:pos="554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251" w:right="1279" w:bottom="1440" w:gutter="0" w:footer="0" w:header="0"/>
        </w:sectPr>
      </w:pPr>
    </w:p>
    <w:bookmarkStart w:id="21" w:name="page22"/>
    <w:bookmarkEnd w:id="21"/>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90"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Magnera Corporation</w:t>
      </w:r>
    </w:p>
    <w:p>
      <w:pPr>
        <w:spacing w:after="0" w:line="310" w:lineRule="exact"/>
        <w:rPr>
          <w:sz w:val="20"/>
          <w:szCs w:val="20"/>
          <w:color w:val="auto"/>
        </w:rPr>
      </w:pPr>
    </w:p>
    <w:p>
      <w:pPr>
        <w:ind w:left="20"/>
        <w:spacing w:after="0"/>
        <w:tabs>
          <w:tab w:leader="none" w:pos="5220" w:val="left"/>
          <w:tab w:leader="none" w:pos="5780" w:val="left"/>
        </w:tabs>
        <w:rPr>
          <w:sz w:val="20"/>
          <w:szCs w:val="20"/>
          <w:color w:val="auto"/>
        </w:rPr>
      </w:pPr>
      <w:r>
        <w:rPr>
          <w:rFonts w:ascii="Times New Roman" w:cs="Times New Roman" w:eastAsia="Times New Roman" w:hAnsi="Times New Roman"/>
          <w:sz w:val="18"/>
          <w:szCs w:val="18"/>
          <w:color w:val="auto"/>
        </w:rPr>
        <w:t>May 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James M. Till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26035</wp:posOffset>
            </wp:positionV>
            <wp:extent cx="343725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37255" cy="8255"/>
                    </a:xfrm>
                    <a:prstGeom prst="rect">
                      <a:avLst/>
                    </a:prstGeom>
                    <a:noFill/>
                  </pic:spPr>
                </pic:pic>
              </a:graphicData>
            </a:graphic>
          </wp:anchor>
        </w:drawing>
      </w:r>
    </w:p>
    <w:p>
      <w:pPr>
        <w:spacing w:after="0" w:line="4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James M. Till</w:t>
      </w:r>
    </w:p>
    <w:p>
      <w:pPr>
        <w:spacing w:after="0" w:line="50"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6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0340"/>
          </w:cols>
          <w:pgMar w:left="320" w:top="927" w:right="12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Curtis L. Begle, Chief Executive Officer of Magnera Corporation, certify that:</w:t>
      </w:r>
    </w:p>
    <w:p>
      <w:pPr>
        <w:spacing w:after="0" w:line="117"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Magnera Corporation (the "Registrant");</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3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5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5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580" w:val="left"/>
        </w:tabs>
        <w:numPr>
          <w:ilvl w:val="1"/>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40" w:hanging="328"/>
        <w:spacing w:after="0" w:line="266" w:lineRule="auto"/>
        <w:tabs>
          <w:tab w:leader="none" w:pos="5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300" w:hanging="332"/>
        <w:spacing w:after="0" w:line="282" w:lineRule="auto"/>
        <w:tabs>
          <w:tab w:leader="none" w:pos="32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58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59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6300" w:type="dxa"/>
            <w:vAlign w:val="bottom"/>
            <w:gridSpan w:val="2"/>
          </w:tcPr>
          <w:p>
            <w:pPr>
              <w:jc w:val="right"/>
              <w:ind w:right="4170"/>
              <w:spacing w:after="0"/>
              <w:rPr>
                <w:sz w:val="20"/>
                <w:szCs w:val="20"/>
                <w:color w:val="auto"/>
              </w:rPr>
            </w:pPr>
            <w:r>
              <w:rPr>
                <w:rFonts w:ascii="Times New Roman" w:cs="Times New Roman" w:eastAsia="Times New Roman" w:hAnsi="Times New Roman"/>
                <w:sz w:val="18"/>
                <w:szCs w:val="18"/>
                <w:color w:val="auto"/>
              </w:rPr>
              <w:t>By   /s/ Curtis L. Begle</w:t>
            </w:r>
          </w:p>
        </w:tc>
        <w:tc>
          <w:tcPr>
            <w:tcW w:w="0" w:type="dxa"/>
            <w:vAlign w:val="bottom"/>
          </w:tcPr>
          <w:p>
            <w:pPr>
              <w:spacing w:after="0"/>
              <w:rPr>
                <w:sz w:val="1"/>
                <w:szCs w:val="1"/>
                <w:color w:val="auto"/>
              </w:rPr>
            </w:pPr>
          </w:p>
        </w:tc>
      </w:tr>
      <w:tr>
        <w:trPr>
          <w:trHeight w:val="326"/>
        </w:trPr>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0" w:type="dxa"/>
            <w:vAlign w:val="bottom"/>
            <w:tcBorders>
              <w:top w:val="single" w:sz="8" w:color="auto"/>
            </w:tcBorders>
          </w:tcPr>
          <w:p>
            <w:pPr>
              <w:jc w:val="right"/>
              <w:ind w:right="4170"/>
              <w:spacing w:after="0"/>
              <w:rPr>
                <w:sz w:val="20"/>
                <w:szCs w:val="20"/>
                <w:color w:val="auto"/>
              </w:rPr>
            </w:pPr>
            <w:r>
              <w:rPr>
                <w:rFonts w:ascii="Times New Roman" w:cs="Times New Roman" w:eastAsia="Times New Roman" w:hAnsi="Times New Roman"/>
                <w:sz w:val="18"/>
                <w:szCs w:val="18"/>
                <w:color w:val="auto"/>
              </w:rPr>
              <w:t>Curtis L. Begle</w:t>
            </w:r>
          </w:p>
        </w:tc>
        <w:tc>
          <w:tcPr>
            <w:tcW w:w="0" w:type="dxa"/>
            <w:vAlign w:val="bottom"/>
          </w:tcPr>
          <w:p>
            <w:pPr>
              <w:spacing w:after="0"/>
              <w:rPr>
                <w:sz w:val="1"/>
                <w:szCs w:val="1"/>
                <w:color w:val="auto"/>
              </w:rPr>
            </w:pPr>
          </w:p>
        </w:tc>
      </w:tr>
      <w:tr>
        <w:trPr>
          <w:trHeight w:val="234"/>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700" w:type="dxa"/>
            <w:vAlign w:val="bottom"/>
          </w:tcPr>
          <w:p>
            <w:pPr>
              <w:spacing w:after="0"/>
              <w:rPr>
                <w:sz w:val="20"/>
                <w:szCs w:val="20"/>
                <w:color w:val="auto"/>
              </w:rPr>
            </w:pPr>
          </w:p>
        </w:tc>
        <w:tc>
          <w:tcPr>
            <w:tcW w:w="5600" w:type="dxa"/>
            <w:vAlign w:val="bottom"/>
          </w:tcPr>
          <w:p>
            <w:pPr>
              <w:jc w:val="right"/>
              <w:ind w:right="355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3620" w:firstLine="3624"/>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CHIEF FINANCIAL OFFICER CERTIFICATION </w:t>
      </w:r>
      <w:r>
        <w:rPr>
          <w:rFonts w:ascii="Times New Roman" w:cs="Times New Roman" w:eastAsia="Times New Roman" w:hAnsi="Times New Roman"/>
          <w:sz w:val="18"/>
          <w:szCs w:val="18"/>
          <w:color w:val="auto"/>
        </w:rPr>
        <w:t>I, James M. Till, Chief Financial Officer of Magnera Corporation, certify that:</w:t>
      </w:r>
    </w:p>
    <w:p>
      <w:pPr>
        <w:ind w:left="340" w:hanging="332"/>
        <w:spacing w:after="0"/>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Magnera Corporation (the "Registrant");</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5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5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860" w:hanging="328"/>
        <w:spacing w:after="0" w:line="312" w:lineRule="auto"/>
        <w:tabs>
          <w:tab w:leader="none" w:pos="58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40" w:hanging="328"/>
        <w:spacing w:after="0" w:line="266" w:lineRule="auto"/>
        <w:tabs>
          <w:tab w:leader="none" w:pos="5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280" w:hanging="332"/>
        <w:spacing w:after="0" w:line="282" w:lineRule="auto"/>
        <w:tabs>
          <w:tab w:leader="none" w:pos="328"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58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591"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6300" w:type="dxa"/>
            <w:vAlign w:val="bottom"/>
            <w:gridSpan w:val="2"/>
          </w:tcPr>
          <w:p>
            <w:pPr>
              <w:jc w:val="right"/>
              <w:ind w:right="4290"/>
              <w:spacing w:after="0"/>
              <w:rPr>
                <w:sz w:val="20"/>
                <w:szCs w:val="20"/>
                <w:color w:val="auto"/>
              </w:rPr>
            </w:pPr>
            <w:r>
              <w:rPr>
                <w:rFonts w:ascii="Times New Roman" w:cs="Times New Roman" w:eastAsia="Times New Roman" w:hAnsi="Times New Roman"/>
                <w:sz w:val="18"/>
                <w:szCs w:val="18"/>
                <w:color w:val="auto"/>
              </w:rPr>
              <w:t>By   /s/ James M. Till</w:t>
            </w:r>
          </w:p>
        </w:tc>
        <w:tc>
          <w:tcPr>
            <w:tcW w:w="0" w:type="dxa"/>
            <w:vAlign w:val="bottom"/>
          </w:tcPr>
          <w:p>
            <w:pPr>
              <w:spacing w:after="0"/>
              <w:rPr>
                <w:sz w:val="1"/>
                <w:szCs w:val="1"/>
                <w:color w:val="auto"/>
              </w:rPr>
            </w:pPr>
          </w:p>
        </w:tc>
      </w:tr>
      <w:tr>
        <w:trPr>
          <w:trHeight w:val="218"/>
        </w:trPr>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0" w:type="dxa"/>
            <w:vAlign w:val="bottom"/>
            <w:tcBorders>
              <w:top w:val="single" w:sz="8" w:color="auto"/>
            </w:tcBorders>
          </w:tcPr>
          <w:p>
            <w:pPr>
              <w:jc w:val="right"/>
              <w:ind w:right="4290"/>
              <w:spacing w:after="0"/>
              <w:rPr>
                <w:sz w:val="20"/>
                <w:szCs w:val="20"/>
                <w:color w:val="auto"/>
              </w:rPr>
            </w:pPr>
            <w:r>
              <w:rPr>
                <w:rFonts w:ascii="Times New Roman" w:cs="Times New Roman" w:eastAsia="Times New Roman" w:hAnsi="Times New Roman"/>
                <w:sz w:val="18"/>
                <w:szCs w:val="18"/>
                <w:color w:val="auto"/>
              </w:rPr>
              <w:t>James M. Till</w:t>
            </w:r>
          </w:p>
        </w:tc>
        <w:tc>
          <w:tcPr>
            <w:tcW w:w="0" w:type="dxa"/>
            <w:vAlign w:val="bottom"/>
          </w:tcPr>
          <w:p>
            <w:pPr>
              <w:spacing w:after="0"/>
              <w:rPr>
                <w:sz w:val="1"/>
                <w:szCs w:val="1"/>
                <w:color w:val="auto"/>
              </w:rPr>
            </w:pPr>
          </w:p>
        </w:tc>
      </w:tr>
      <w:tr>
        <w:trPr>
          <w:trHeight w:val="234"/>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700" w:type="dxa"/>
            <w:vAlign w:val="bottom"/>
          </w:tcPr>
          <w:p>
            <w:pPr>
              <w:spacing w:after="0"/>
              <w:rPr>
                <w:sz w:val="20"/>
                <w:szCs w:val="20"/>
                <w:color w:val="auto"/>
              </w:rPr>
            </w:pPr>
          </w:p>
        </w:tc>
        <w:tc>
          <w:tcPr>
            <w:tcW w:w="560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34"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Magnera Corporation (the “Registrant”) on Form 10-Q for the quarterly period ended March 29, 2025, as filed with the Securities and Exchange Commission on the date hereof (the “Report”), I, Curtis L. Begle, Chief Executive Officer of the Registrant, certify, pursuant to 18 U.S.C. Section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6300" w:type="dxa"/>
            <w:vAlign w:val="bottom"/>
            <w:gridSpan w:val="2"/>
          </w:tcPr>
          <w:p>
            <w:pPr>
              <w:jc w:val="right"/>
              <w:ind w:right="4170"/>
              <w:spacing w:after="0"/>
              <w:rPr>
                <w:sz w:val="20"/>
                <w:szCs w:val="20"/>
                <w:color w:val="auto"/>
              </w:rPr>
            </w:pPr>
            <w:r>
              <w:rPr>
                <w:rFonts w:ascii="Times New Roman" w:cs="Times New Roman" w:eastAsia="Times New Roman" w:hAnsi="Times New Roman"/>
                <w:sz w:val="18"/>
                <w:szCs w:val="18"/>
                <w:color w:val="auto"/>
              </w:rPr>
              <w:t>By   /s/ Curtis L. Begle</w:t>
            </w:r>
          </w:p>
        </w:tc>
        <w:tc>
          <w:tcPr>
            <w:tcW w:w="0" w:type="dxa"/>
            <w:vAlign w:val="bottom"/>
          </w:tcPr>
          <w:p>
            <w:pPr>
              <w:spacing w:after="0"/>
              <w:rPr>
                <w:sz w:val="1"/>
                <w:szCs w:val="1"/>
                <w:color w:val="auto"/>
              </w:rPr>
            </w:pPr>
          </w:p>
        </w:tc>
      </w:tr>
      <w:tr>
        <w:trPr>
          <w:trHeight w:val="326"/>
        </w:trPr>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0" w:type="dxa"/>
            <w:vAlign w:val="bottom"/>
            <w:tcBorders>
              <w:top w:val="single" w:sz="8" w:color="auto"/>
            </w:tcBorders>
          </w:tcPr>
          <w:p>
            <w:pPr>
              <w:jc w:val="right"/>
              <w:ind w:right="4170"/>
              <w:spacing w:after="0"/>
              <w:rPr>
                <w:sz w:val="20"/>
                <w:szCs w:val="20"/>
                <w:color w:val="auto"/>
              </w:rPr>
            </w:pPr>
            <w:r>
              <w:rPr>
                <w:rFonts w:ascii="Times New Roman" w:cs="Times New Roman" w:eastAsia="Times New Roman" w:hAnsi="Times New Roman"/>
                <w:sz w:val="18"/>
                <w:szCs w:val="18"/>
                <w:color w:val="auto"/>
              </w:rPr>
              <w:t>Curtis L. Begle</w:t>
            </w:r>
          </w:p>
        </w:tc>
        <w:tc>
          <w:tcPr>
            <w:tcW w:w="0" w:type="dxa"/>
            <w:vAlign w:val="bottom"/>
          </w:tcPr>
          <w:p>
            <w:pPr>
              <w:spacing w:after="0"/>
              <w:rPr>
                <w:sz w:val="1"/>
                <w:szCs w:val="1"/>
                <w:color w:val="auto"/>
              </w:rPr>
            </w:pPr>
          </w:p>
        </w:tc>
      </w:tr>
      <w:tr>
        <w:trPr>
          <w:trHeight w:val="234"/>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700" w:type="dxa"/>
            <w:vAlign w:val="bottom"/>
          </w:tcPr>
          <w:p>
            <w:pPr>
              <w:spacing w:after="0"/>
              <w:rPr>
                <w:sz w:val="20"/>
                <w:szCs w:val="20"/>
                <w:color w:val="auto"/>
              </w:rPr>
            </w:pPr>
          </w:p>
        </w:tc>
        <w:tc>
          <w:tcPr>
            <w:tcW w:w="5600" w:type="dxa"/>
            <w:vAlign w:val="bottom"/>
          </w:tcPr>
          <w:p>
            <w:pPr>
              <w:jc w:val="right"/>
              <w:ind w:right="3550"/>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03"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34"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Magnera Corporation (the “Registrant”) on Form 10-Q for the quarterly period ended March 29, 2025, as filed with the Securities and Exchange Commission on the date hereof (the “Report”), I, James M. Till, Chief Financial Officer of the Registrant, certify, pursuant to 18 U.S.C. Section 1350, as adopted pursuant to Section 906 of the Sarbanes-Oxley Act of 2002, that, to my knowledge:</w:t>
      </w:r>
    </w:p>
    <w:p>
      <w:pPr>
        <w:spacing w:after="0" w:line="203" w:lineRule="exact"/>
        <w:rPr>
          <w:sz w:val="20"/>
          <w:szCs w:val="20"/>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40" w:type="dxa"/>
            <w:vAlign w:val="bottom"/>
          </w:tcPr>
          <w:p>
            <w:pPr>
              <w:spacing w:after="0"/>
              <w:rPr>
                <w:sz w:val="20"/>
                <w:szCs w:val="20"/>
                <w:color w:val="auto"/>
              </w:rPr>
            </w:pPr>
          </w:p>
        </w:tc>
        <w:tc>
          <w:tcPr>
            <w:tcW w:w="6300" w:type="dxa"/>
            <w:vAlign w:val="bottom"/>
            <w:gridSpan w:val="2"/>
          </w:tcPr>
          <w:p>
            <w:pPr>
              <w:jc w:val="right"/>
              <w:ind w:right="4290"/>
              <w:spacing w:after="0"/>
              <w:rPr>
                <w:sz w:val="20"/>
                <w:szCs w:val="20"/>
                <w:color w:val="auto"/>
              </w:rPr>
            </w:pPr>
            <w:r>
              <w:rPr>
                <w:rFonts w:ascii="Times New Roman" w:cs="Times New Roman" w:eastAsia="Times New Roman" w:hAnsi="Times New Roman"/>
                <w:sz w:val="18"/>
                <w:szCs w:val="18"/>
                <w:color w:val="auto"/>
              </w:rPr>
              <w:t>By   /s/ James M. Till</w:t>
            </w:r>
          </w:p>
        </w:tc>
        <w:tc>
          <w:tcPr>
            <w:tcW w:w="0" w:type="dxa"/>
            <w:vAlign w:val="bottom"/>
          </w:tcPr>
          <w:p>
            <w:pPr>
              <w:spacing w:after="0"/>
              <w:rPr>
                <w:sz w:val="1"/>
                <w:szCs w:val="1"/>
                <w:color w:val="auto"/>
              </w:rPr>
            </w:pPr>
          </w:p>
        </w:tc>
      </w:tr>
      <w:tr>
        <w:trPr>
          <w:trHeight w:val="218"/>
        </w:trPr>
        <w:tc>
          <w:tcPr>
            <w:tcW w:w="1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0" w:type="dxa"/>
            <w:vAlign w:val="bottom"/>
            <w:tcBorders>
              <w:top w:val="single" w:sz="8" w:color="auto"/>
            </w:tcBorders>
          </w:tcPr>
          <w:p>
            <w:pPr>
              <w:jc w:val="right"/>
              <w:ind w:right="4290"/>
              <w:spacing w:after="0"/>
              <w:rPr>
                <w:sz w:val="20"/>
                <w:szCs w:val="20"/>
                <w:color w:val="auto"/>
              </w:rPr>
            </w:pPr>
            <w:r>
              <w:rPr>
                <w:rFonts w:ascii="Times New Roman" w:cs="Times New Roman" w:eastAsia="Times New Roman" w:hAnsi="Times New Roman"/>
                <w:sz w:val="18"/>
                <w:szCs w:val="18"/>
                <w:color w:val="auto"/>
              </w:rPr>
              <w:t>James M. Till</w:t>
            </w:r>
          </w:p>
        </w:tc>
        <w:tc>
          <w:tcPr>
            <w:tcW w:w="0" w:type="dxa"/>
            <w:vAlign w:val="bottom"/>
          </w:tcPr>
          <w:p>
            <w:pPr>
              <w:spacing w:after="0"/>
              <w:rPr>
                <w:sz w:val="1"/>
                <w:szCs w:val="1"/>
                <w:color w:val="auto"/>
              </w:rPr>
            </w:pPr>
          </w:p>
        </w:tc>
      </w:tr>
      <w:tr>
        <w:trPr>
          <w:trHeight w:val="234"/>
        </w:trPr>
        <w:tc>
          <w:tcPr>
            <w:tcW w:w="1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7, 2025</w:t>
            </w:r>
          </w:p>
        </w:tc>
        <w:tc>
          <w:tcPr>
            <w:tcW w:w="700" w:type="dxa"/>
            <w:vAlign w:val="bottom"/>
          </w:tcPr>
          <w:p>
            <w:pPr>
              <w:spacing w:after="0"/>
              <w:rPr>
                <w:sz w:val="20"/>
                <w:szCs w:val="20"/>
                <w:color w:val="auto"/>
              </w:rPr>
            </w:pPr>
          </w:p>
        </w:tc>
        <w:tc>
          <w:tcPr>
            <w:tcW w:w="560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108"/>
        </w:trPr>
        <w:tc>
          <w:tcPr>
            <w:tcW w:w="1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5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3"/>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decimal"/>
      <w:start w:val="4"/>
    </w:lvl>
  </w:abstractNum>
  <w:abstractNum w:abstractNumId="7">
    <w:nsid w:val="7FDCC233"/>
    <w:multiLevelType w:val="hybridMultilevel"/>
    <w:lvl w:ilvl="0">
      <w:lvlJc w:val="left"/>
      <w:lvlText w:val="%1"/>
      <w:numFmt w:val="decimal"/>
      <w:start w:val="1"/>
    </w:lvl>
    <w:lvl w:ilvl="1">
      <w:lvlJc w:val="left"/>
      <w:lvlText w:val="(%2)"/>
      <w:numFmt w:val="lowerLetter"/>
      <w:start w:val="1"/>
    </w:lvl>
  </w:abstractNum>
  <w:abstractNum w:abstractNumId="8">
    <w:nsid w:val="1BEFD79F"/>
    <w:multiLevelType w:val="hybridMultilevel"/>
    <w:lvl w:ilvl="0">
      <w:lvlJc w:val="left"/>
      <w:lvlText w:val="%1."/>
      <w:numFmt w:val="decimal"/>
      <w:start w:val="5"/>
    </w:lvl>
    <w:lvl w:ilvl="1">
      <w:lvlJc w:val="left"/>
      <w:lvlText w:val="%2"/>
      <w:numFmt w:val="lowerLetter"/>
      <w:start w:val="1"/>
    </w:lvl>
  </w:abstractNum>
  <w:abstractNum w:abstractNumId="9">
    <w:nsid w:val="41A7C4C9"/>
    <w:multiLevelType w:val="hybridMultilevel"/>
    <w:lvl w:ilvl="0">
      <w:lvlJc w:val="left"/>
      <w:lvlText w:val="%1."/>
      <w:numFmt w:val="decimal"/>
      <w:start w:val="7"/>
    </w:lvl>
  </w:abstractNum>
  <w:abstractNum w:abstractNumId="10">
    <w:nsid w:val="6B68079A"/>
    <w:multiLevelType w:val="hybridMultilevel"/>
    <w:lvl w:ilvl="0">
      <w:lvlJc w:val="left"/>
      <w:lvlText w:val="%1."/>
      <w:numFmt w:val="decimal"/>
      <w:start w:val="8"/>
    </w:lvl>
  </w:abstractNum>
  <w:abstractNum w:abstractNumId="11">
    <w:nsid w:val="4E6AFB66"/>
    <w:multiLevelType w:val="hybridMultilevel"/>
    <w:lvl w:ilvl="0">
      <w:lvlJc w:val="left"/>
      <w:lvlText w:val="%1."/>
      <w:numFmt w:val="decimal"/>
      <w:start w:val="9"/>
    </w:lvl>
  </w:abstractNum>
  <w:abstractNum w:abstractNumId="12">
    <w:nsid w:val="25E45D32"/>
    <w:multiLevelType w:val="hybridMultilevel"/>
    <w:lvl w:ilvl="0">
      <w:lvlJc w:val="left"/>
      <w:lvlText w:val="%1."/>
      <w:numFmt w:val="decimal"/>
      <w:start w:val="10"/>
    </w:lvl>
  </w:abstractNum>
  <w:abstractNum w:abstractNumId="13">
    <w:nsid w:val="519B500D"/>
    <w:multiLevelType w:val="hybridMultilevel"/>
    <w:lvl w:ilvl="0">
      <w:lvlJc w:val="left"/>
      <w:lvlText w:val="%1."/>
      <w:numFmt w:val="decimal"/>
      <w:start w:val="11"/>
    </w:lvl>
  </w:abstractNum>
  <w:abstractNum w:abstractNumId="14">
    <w:nsid w:val="431BD7B7"/>
    <w:multiLevelType w:val="hybridMultilevel"/>
    <w:lvl w:ilvl="0">
      <w:lvlJc w:val="left"/>
      <w:lvlText w:val="%1."/>
      <w:numFmt w:val="decimal"/>
      <w:start w:val="12"/>
    </w:lvl>
  </w:abstractNum>
  <w:abstractNum w:abstractNumId="15">
    <w:nsid w:val="3F2DBA31"/>
    <w:multiLevelType w:val="hybridMultilevel"/>
    <w:lvl w:ilvl="0">
      <w:lvlJc w:val="left"/>
      <w:lvlText w:val="*"/>
      <w:numFmt w:val="bullet"/>
      <w:start w:val="1"/>
    </w:lvl>
    <w:lvl w:ilvl="1">
      <w:lvlJc w:val="left"/>
      <w:lvlText w:val="%2"/>
      <w:numFmt w:val="decimal"/>
      <w:start w:val="104"/>
    </w:lvl>
    <w:lvl w:ilvl="2">
      <w:lvlJc w:val="left"/>
      <w:lvlText w:val="-"/>
      <w:numFmt w:val="bullet"/>
      <w:start w:val="1"/>
    </w:lvl>
  </w:abstractNum>
  <w:abstractNum w:abstractNumId="16">
    <w:nsid w:val="7C83E458"/>
    <w:multiLevelType w:val="hybridMultilevel"/>
    <w:lvl w:ilvl="0">
      <w:lvlJc w:val="left"/>
      <w:lvlText w:val="**"/>
      <w:numFmt w:val="bullet"/>
      <w:start w:val="1"/>
    </w:lvl>
    <w:lvl w:ilvl="1">
      <w:lvlJc w:val="left"/>
      <w:lvlText w:val="%2"/>
      <w:numFmt w:val="decimal"/>
      <w:start w:val="1"/>
    </w:lvl>
    <w:lvl w:ilvl="2">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2025-05-07T16:28:44Z</dcterms:created>
  <dcterms:modified xsi:type="dcterms:W3CDTF">2025-05-07T16:28:44Z</dcterms:modified>
</cp:coreProperties>
</file>