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167640</wp:posOffset>
            </wp:positionV>
            <wp:extent cx="2571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81915</wp:posOffset>
            </wp:positionV>
            <wp:extent cx="25717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83" w:lineRule="exact"/>
        <w:rPr>
          <w:sz w:val="24"/>
          <w:szCs w:val="24"/>
          <w:color w:val="auto"/>
        </w:rPr>
      </w:pPr>
    </w:p>
    <w:p>
      <w:pPr>
        <w:ind w:left="540" w:hanging="484"/>
        <w:spacing w:after="0"/>
        <w:tabs>
          <w:tab w:leader="none" w:pos="5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27, 2025</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71" w:lineRule="exact"/>
        <w:rPr>
          <w:sz w:val="24"/>
          <w:szCs w:val="24"/>
          <w:color w:val="auto"/>
        </w:rPr>
      </w:pPr>
    </w:p>
    <w:p>
      <w:pPr>
        <w:ind w:left="4480" w:right="4480" w:hanging="4424"/>
        <w:spacing w:after="0" w:line="336" w:lineRule="auto"/>
        <w:tabs>
          <w:tab w:leader="none" w:pos="53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85725</wp:posOffset>
            </wp:positionV>
            <wp:extent cx="257175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9335 Harris Corners Pkwy, Suite 300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Charlotte, North Carolina 28269</w:t>
      </w:r>
    </w:p>
    <w:p>
      <w:pPr>
        <w:spacing w:after="0" w:line="4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23"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color w:val="auto"/>
        </w:rPr>
        <w:t>(866) 744-7380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Commission file</w:t>
            </w:r>
          </w:p>
        </w:tc>
        <w:tc>
          <w:tcPr>
            <w:tcW w:w="1680" w:type="dxa"/>
            <w:vAlign w:val="bottom"/>
            <w:gridSpan w:val="3"/>
          </w:tcPr>
          <w:p>
            <w:pPr>
              <w:jc w:val="center"/>
              <w:ind w:left="5"/>
              <w:spacing w:after="0"/>
              <w:rPr>
                <w:sz w:val="20"/>
                <w:szCs w:val="20"/>
                <w:color w:val="auto"/>
              </w:rPr>
            </w:pPr>
            <w:r>
              <w:rPr>
                <w:rFonts w:ascii="Times New Roman" w:cs="Times New Roman" w:eastAsia="Times New Roman" w:hAnsi="Times New Roman"/>
                <w:sz w:val="14"/>
                <w:szCs w:val="14"/>
                <w:color w:val="auto"/>
              </w:rPr>
              <w:t>Exact name of registrant as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ind w:left="665"/>
              <w:spacing w:after="0"/>
              <w:rPr>
                <w:sz w:val="20"/>
                <w:szCs w:val="20"/>
                <w:color w:val="auto"/>
              </w:rPr>
            </w:pPr>
            <w:r>
              <w:rPr>
                <w:rFonts w:ascii="Times New Roman" w:cs="Times New Roman" w:eastAsia="Times New Roman" w:hAnsi="Times New Roman"/>
                <w:sz w:val="14"/>
                <w:szCs w:val="14"/>
                <w:color w:val="auto"/>
              </w:rPr>
              <w:t>IRS Employer</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w:t>
            </w:r>
          </w:p>
        </w:tc>
      </w:tr>
      <w:tr>
        <w:trPr>
          <w:trHeight w:val="175"/>
        </w:trPr>
        <w:tc>
          <w:tcPr>
            <w:tcW w:w="33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number</w:t>
            </w:r>
          </w:p>
        </w:tc>
        <w:tc>
          <w:tcPr>
            <w:tcW w:w="1680" w:type="dxa"/>
            <w:vAlign w:val="bottom"/>
            <w:gridSpan w:val="3"/>
          </w:tcPr>
          <w:p>
            <w:pPr>
              <w:jc w:val="center"/>
              <w:ind w:left="5"/>
              <w:spacing w:after="0"/>
              <w:rPr>
                <w:sz w:val="20"/>
                <w:szCs w:val="20"/>
                <w:color w:val="auto"/>
              </w:rPr>
            </w:pPr>
            <w:r>
              <w:rPr>
                <w:rFonts w:ascii="Times New Roman" w:cs="Times New Roman" w:eastAsia="Times New Roman" w:hAnsi="Times New Roman"/>
                <w:sz w:val="14"/>
                <w:szCs w:val="14"/>
                <w:color w:val="auto"/>
              </w:rPr>
              <w:t>specified in its charter</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left="665"/>
              <w:spacing w:after="0"/>
              <w:rPr>
                <w:sz w:val="20"/>
                <w:szCs w:val="20"/>
                <w:color w:val="auto"/>
              </w:rPr>
            </w:pPr>
            <w:r>
              <w:rPr>
                <w:rFonts w:ascii="Times New Roman" w:cs="Times New Roman" w:eastAsia="Times New Roman" w:hAnsi="Times New Roman"/>
                <w:sz w:val="14"/>
                <w:szCs w:val="14"/>
                <w:color w:val="auto"/>
              </w:rPr>
              <w:t>Identification No.</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r>
      <w:tr>
        <w:trPr>
          <w:trHeight w:val="206"/>
        </w:trPr>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1-03560</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Magnera Corporation</w:t>
            </w: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ind w:left="785"/>
              <w:spacing w:after="0"/>
              <w:rPr>
                <w:sz w:val="20"/>
                <w:szCs w:val="20"/>
                <w:color w:val="auto"/>
              </w:rPr>
            </w:pPr>
            <w:r>
              <w:rPr>
                <w:rFonts w:ascii="Times New Roman" w:cs="Times New Roman" w:eastAsia="Times New Roman" w:hAnsi="Times New Roman"/>
                <w:sz w:val="16"/>
                <w:szCs w:val="16"/>
                <w:b w:val="1"/>
                <w:bCs w:val="1"/>
                <w:color w:val="auto"/>
              </w:rPr>
              <w:t>23-0628360</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Pennsylvania</w:t>
            </w:r>
          </w:p>
        </w:tc>
      </w:tr>
      <w:tr>
        <w:trPr>
          <w:trHeight w:val="524"/>
        </w:trPr>
        <w:tc>
          <w:tcPr>
            <w:tcW w:w="5060" w:type="dxa"/>
            <w:vAlign w:val="bottom"/>
            <w:gridSpan w:val="6"/>
          </w:tcPr>
          <w:p>
            <w:pPr>
              <w:jc w:val="center"/>
              <w:ind w:right="13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1"/>
        </w:trPr>
        <w:tc>
          <w:tcPr>
            <w:tcW w:w="3380" w:type="dxa"/>
            <w:vAlign w:val="bottom"/>
            <w:gridSpan w:val="3"/>
          </w:tcPr>
          <w:p>
            <w:pPr>
              <w:jc w:val="center"/>
              <w:ind w:left="264"/>
              <w:spacing w:after="0"/>
              <w:rPr>
                <w:sz w:val="20"/>
                <w:szCs w:val="20"/>
                <w:color w:val="auto"/>
              </w:rPr>
            </w:pPr>
            <w:r>
              <w:rPr>
                <w:rFonts w:ascii="Times New Roman" w:cs="Times New Roman" w:eastAsia="Times New Roman" w:hAnsi="Times New Roman"/>
                <w:sz w:val="14"/>
                <w:szCs w:val="14"/>
                <w:color w:val="auto"/>
              </w:rPr>
              <w:t>Title of each class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80" w:type="dxa"/>
            <w:vAlign w:val="bottom"/>
            <w:gridSpan w:val="4"/>
          </w:tcPr>
          <w:p>
            <w:pPr>
              <w:jc w:val="center"/>
              <w:ind w:right="1360"/>
              <w:spacing w:after="0"/>
              <w:rPr>
                <w:sz w:val="20"/>
                <w:szCs w:val="20"/>
                <w:color w:val="auto"/>
              </w:rPr>
            </w:pPr>
            <w:r>
              <w:rPr>
                <w:rFonts w:ascii="Times New Roman" w:cs="Times New Roman" w:eastAsia="Times New Roman" w:hAnsi="Times New Roman"/>
                <w:sz w:val="14"/>
                <w:szCs w:val="14"/>
                <w:color w:val="auto"/>
              </w:rPr>
              <w:t>Trading Symbol(s)</w:t>
            </w:r>
          </w:p>
        </w:tc>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6"/>
        </w:trPr>
        <w:tc>
          <w:tcPr>
            <w:tcW w:w="3380" w:type="dxa"/>
            <w:vAlign w:val="bottom"/>
            <w:tcBorders>
              <w:top w:val="single" w:sz="8" w:color="auto"/>
            </w:tcBorders>
            <w:gridSpan w:val="3"/>
          </w:tcPr>
          <w:p>
            <w:pPr>
              <w:jc w:val="center"/>
              <w:ind w:left="264"/>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3"/>
          </w:tcPr>
          <w:p>
            <w:pPr>
              <w:jc w:val="center"/>
              <w:ind w:right="1165"/>
              <w:spacing w:after="0"/>
              <w:rPr>
                <w:sz w:val="20"/>
                <w:szCs w:val="20"/>
                <w:color w:val="auto"/>
              </w:rPr>
            </w:pPr>
            <w:r>
              <w:rPr>
                <w:rFonts w:ascii="Times New Roman" w:cs="Times New Roman" w:eastAsia="Times New Roman" w:hAnsi="Times New Roman"/>
                <w:sz w:val="16"/>
                <w:szCs w:val="16"/>
                <w:b w:val="1"/>
                <w:bCs w:val="1"/>
                <w:color w:val="auto"/>
              </w:rPr>
              <w:t>MAGN</w:t>
            </w: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tcPr>
          <w:p>
            <w:pPr>
              <w:jc w:val="center"/>
              <w:ind w:right="824"/>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65"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03"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69" w:lineRule="exact"/>
        <w:rPr>
          <w:sz w:val="24"/>
          <w:szCs w:val="24"/>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 reporting company or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60" w:type="dxa"/>
        <w:tblCellMar>
          <w:top w:w="0" w:type="dxa"/>
          <w:left w:w="0" w:type="dxa"/>
          <w:bottom w:w="0" w:type="dxa"/>
          <w:right w:w="0" w:type="dxa"/>
        </w:tblCellMar>
      </w:tblPr>
      <w:tr>
        <w:trPr>
          <w:trHeight w:val="265"/>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60" w:type="dxa"/>
            <w:vAlign w:val="bottom"/>
          </w:tcPr>
          <w:p>
            <w:pPr>
              <w:ind w:left="3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w:t>
            </w:r>
          </w:p>
        </w:tc>
        <w:tc>
          <w:tcPr>
            <w:tcW w:w="2100" w:type="dxa"/>
            <w:vAlign w:val="bottom"/>
          </w:tcPr>
          <w:p>
            <w:pPr>
              <w:ind w:left="3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268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2520" w:type="dxa"/>
            <w:vAlign w:val="bottom"/>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3"/>
        </w:trPr>
        <w:tc>
          <w:tcPr>
            <w:tcW w:w="108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6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664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Act. </w:t>
            </w:r>
          </w:p>
        </w:tc>
        <w:tc>
          <w:tcPr>
            <w:tcW w:w="25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Common Stock outstanding on February 5, 2026 totaled 35.9 million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6"/>
          <w:szCs w:val="16"/>
          <w:color w:val="auto"/>
        </w:rPr>
        <w:t>CAUTIONARY STATEMENT CONCERNING FORWARD-LOOKING STATEMENTS</w:t>
      </w:r>
    </w:p>
    <w:p>
      <w:pPr>
        <w:spacing w:after="0" w:line="2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This document contains certain statements that are “forward-looking” statements within the meaning of the federal securities laws and are presented pursuant to the safe harbor provisions of the U.S. Private Securities Litigation Reform Act of 1995. Such “forward-looking” statements include, but are not limited to, statements with respect to our future financial performance and condition, results of operations and business, our expectations or beliefs concerning future events, plans, objectives, expectations and intentions, and other statements that are not historical facts. These statements may contain words such as “believes,” “expects,” “may,” “will,” “should,” “would,” “could,” “seeks,” “approximately,” “intends,” “plans,” “estimates,” “projects,” “outlook,” “guidance,” “anticipates” or “looking forward” or similar expressions.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of Magnera and are subject to risks and uncertainties that may change at any time. Forward-looking statements involve risks and uncertainties that could cause actual results to differ materially from those in the forward-looking statements. Although it is not possible to identify all of these risks and uncertainties, they include, among others, the following: global economic conditions; inflation; the cost and availability of raw materials and energy; disruption of our supply chain; the adverse impact of weather events on our facilities, inventory and suppliers, as well as adverse effects on our customers, suppliers and other business partners; the effect of competition on our business; our inability to integrate future acquired companies or to realized expected operating synergies; synergies expected to be achieved in connection with our business combination with a subsidiary of Berry Global Group, Inc.; our inability to retain our officers and employees or the occurrence of labor disputes; disruption of our information technology systems, including as a result of a cyber breach; risks associated with operating internationally, including fluctuating exchange rates, tariffs, differing tax laws and regulation; litigation and regulatory investigations; and disputes related to intellectual property used in our business. Additional information regarding these risks and uncertainties and other risks applicable to our business are described in additional detail in our reports filed with the Securities and Exchange Commission (the “SEC”), including our Annual Report on Form 10-K for the fiscal year ended September 27, 2025, and other filings that we make with the SEC. These risk factors may not contain all of the material factors that are important to you. New factors may emerge from time to time, and it is not possible to either predict new factors or assess the potential effect of any such new factors. Accordingly, readers should not place undue reliance on those statements. All forward-looking statements are made as of the date hereof, and we undertake no obligation to publicly update or revise any forward-looking statement as a result of new information, future events or otherwise, except as otherwise required by law.</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Magnera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 Index</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27,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6740" w:type="dxa"/>
            <w:vAlign w:val="bottom"/>
            <w:gridSpan w:val="11"/>
          </w:tcPr>
          <w:p>
            <w:pPr>
              <w:spacing w:after="0"/>
              <w:rPr>
                <w:sz w:val="17"/>
                <w:szCs w:val="17"/>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277"/>
        </w:trPr>
        <w:tc>
          <w:tcPr>
            <w:tcW w:w="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0000EE"/>
                <w:w w:val="73"/>
              </w:rPr>
              <w:t>Item 1</w:t>
            </w:r>
          </w:p>
        </w:tc>
        <w:tc>
          <w:tcPr>
            <w:tcW w:w="680" w:type="dxa"/>
            <w:vAlign w:val="bottom"/>
          </w:tcPr>
          <w:p>
            <w:pPr>
              <w:spacing w:after="0"/>
              <w:rPr>
                <w:sz w:val="24"/>
                <w:szCs w:val="24"/>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7"/>
        </w:trPr>
        <w:tc>
          <w:tcPr>
            <w:tcW w:w="80" w:type="dxa"/>
            <w:vAlign w:val="bottom"/>
            <w:tcBorders>
              <w:right w:val="single" w:sz="8" w:color="0000EE"/>
            </w:tcBorders>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80" w:type="dxa"/>
            <w:vAlign w:val="bottom"/>
            <w:tcBorders>
              <w:left w:val="single" w:sz="8" w:color="0000EE"/>
              <w:right w:val="single" w:sz="8" w:color="0000EE"/>
            </w:tcBorders>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360" w:type="dxa"/>
            <w:vAlign w:val="bottom"/>
            <w:gridSpan w:val="2"/>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83"/>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Consolidated and Combined Statements of Operations and Comprehensive Loss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3"/>
        </w:trPr>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1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2580" w:type="dxa"/>
            <w:vAlign w:val="bottom"/>
            <w:gridSpan w:val="2"/>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Condensed Consolidated and Combined Statements of Cash Flows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77"/>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auto"/>
              </w:rPr>
              <w:t>Consolidated and Combined Statements of Changes in Equity</w:t>
            </w:r>
          </w:p>
        </w:tc>
        <w:tc>
          <w:tcPr>
            <w:tcW w:w="320" w:type="dxa"/>
            <w:vAlign w:val="bottom"/>
            <w:tcBorders>
              <w:top w:val="single" w:sz="8" w:color="0000EE"/>
            </w:tcBorders>
          </w:tcPr>
          <w:p>
            <w:pPr>
              <w:spacing w:after="0"/>
              <w:rPr>
                <w:sz w:val="24"/>
                <w:szCs w:val="24"/>
                <w:color w:val="auto"/>
              </w:rPr>
            </w:pPr>
          </w:p>
        </w:tc>
        <w:tc>
          <w:tcPr>
            <w:tcW w:w="344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91"/>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auto"/>
              </w:rPr>
              <w:t>Notes to Consolidated and Combined Financial Statements</w:t>
            </w:r>
          </w:p>
        </w:tc>
        <w:tc>
          <w:tcPr>
            <w:tcW w:w="394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91"/>
        </w:trPr>
        <w:tc>
          <w:tcPr>
            <w:tcW w:w="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82"/>
              </w:rPr>
              <w:t>Item 2</w:t>
            </w:r>
          </w:p>
        </w:tc>
        <w:tc>
          <w:tcPr>
            <w:tcW w:w="680" w:type="dxa"/>
            <w:vAlign w:val="bottom"/>
          </w:tcPr>
          <w:p>
            <w:pPr>
              <w:spacing w:after="0"/>
              <w:rPr>
                <w:sz w:val="24"/>
                <w:szCs w:val="24"/>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82"/>
              </w:rPr>
              <w:t>Item 3</w:t>
            </w:r>
          </w:p>
        </w:tc>
        <w:tc>
          <w:tcPr>
            <w:tcW w:w="680" w:type="dxa"/>
            <w:vAlign w:val="bottom"/>
          </w:tcPr>
          <w:p>
            <w:pPr>
              <w:spacing w:after="0"/>
              <w:rPr>
                <w:sz w:val="24"/>
                <w:szCs w:val="24"/>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82"/>
              </w:rPr>
              <w:t>Item 4</w:t>
            </w:r>
          </w:p>
        </w:tc>
        <w:tc>
          <w:tcPr>
            <w:tcW w:w="680" w:type="dxa"/>
            <w:vAlign w:val="bottom"/>
          </w:tcPr>
          <w:p>
            <w:pPr>
              <w:spacing w:after="0"/>
              <w:rPr>
                <w:sz w:val="24"/>
                <w:szCs w:val="24"/>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58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7760" w:type="dxa"/>
            <w:vAlign w:val="bottom"/>
            <w:gridSpan w:val="15"/>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91"/>
        </w:trPr>
        <w:tc>
          <w:tcPr>
            <w:tcW w:w="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11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658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90"/>
        </w:trPr>
        <w:tc>
          <w:tcPr>
            <w:tcW w:w="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82"/>
              </w:rPr>
              <w:t>Item 6</w:t>
            </w:r>
          </w:p>
        </w:tc>
        <w:tc>
          <w:tcPr>
            <w:tcW w:w="680" w:type="dxa"/>
            <w:vAlign w:val="bottom"/>
          </w:tcPr>
          <w:p>
            <w:pPr>
              <w:spacing w:after="0"/>
              <w:rPr>
                <w:sz w:val="24"/>
                <w:szCs w:val="24"/>
                <w:color w:val="auto"/>
              </w:rPr>
            </w:pPr>
          </w:p>
        </w:tc>
        <w:tc>
          <w:tcPr>
            <w:tcW w:w="8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Exhibits</w:t>
            </w:r>
          </w:p>
        </w:tc>
        <w:tc>
          <w:tcPr>
            <w:tcW w:w="694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60" w:type="dxa"/>
            <w:vAlign w:val="bottom"/>
            <w:gridSpan w:val="1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6"/>
                <w:szCs w:val="16"/>
                <w:color w:val="0000EE"/>
              </w:rPr>
              <w:t>Signature</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677"/>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4580" w:type="dxa"/>
            <w:vAlign w:val="bottom"/>
            <w:gridSpan w:val="11"/>
          </w:tcPr>
          <w:p>
            <w:pPr>
              <w:jc w:val="right"/>
              <w:ind w:right="660"/>
              <w:spacing w:after="0"/>
              <w:rPr>
                <w:sz w:val="20"/>
                <w:szCs w:val="20"/>
                <w:color w:val="auto"/>
              </w:rPr>
            </w:pPr>
            <w:r>
              <w:rPr>
                <w:rFonts w:ascii="Times New Roman" w:cs="Times New Roman" w:eastAsia="Times New Roman" w:hAnsi="Times New Roman"/>
                <w:sz w:val="12"/>
                <w:szCs w:val="12"/>
                <w:color w:val="auto"/>
              </w:rPr>
              <w:t>3</w:t>
            </w:r>
          </w:p>
        </w:tc>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52"/>
        </w:trPr>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5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360"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50"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7"/>
          <w:szCs w:val="17"/>
          <w:b w:val="1"/>
          <w:bCs w:val="1"/>
          <w:color w:val="auto"/>
        </w:rPr>
        <w:t>Consolidated and Combined Statements of Operations</w:t>
      </w:r>
    </w:p>
    <w:p>
      <w:pPr>
        <w:spacing w:after="0" w:line="6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 of dollars, except per share amounts)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sales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and expenses: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Cost of goods sold</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Restructuring and other activities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income (loss)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expense, 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before income taxes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 expense (benefit)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Quarterly Period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December 28,</w:t>
            </w:r>
          </w:p>
        </w:tc>
      </w:tr>
      <w:tr>
        <w:trPr>
          <w:trHeight w:val="212"/>
        </w:trPr>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702</w:t>
            </w:r>
          </w:p>
        </w:tc>
      </w:tr>
    </w:tbl>
    <w:p>
      <w:pPr>
        <w:spacing w:after="0" w:line="179" w:lineRule="exact"/>
        <w:rPr>
          <w:sz w:val="20"/>
          <w:szCs w:val="20"/>
          <w:color w:val="auto"/>
        </w:rPr>
      </w:pPr>
    </w:p>
    <w:p>
      <w:pPr>
        <w:ind w:left="2180" w:hanging="1314"/>
        <w:spacing w:after="0"/>
        <w:tabs>
          <w:tab w:leader="none" w:pos="21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631</w:t>
      </w:r>
    </w:p>
    <w:p>
      <w:pPr>
        <w:spacing w:after="0" w:line="26" w:lineRule="exact"/>
        <w:rPr>
          <w:sz w:val="20"/>
          <w:szCs w:val="20"/>
          <w:color w:val="auto"/>
        </w:rPr>
      </w:pPr>
    </w:p>
    <w:p>
      <w:pPr>
        <w:ind w:left="2280" w:hanging="1333"/>
        <w:spacing w:after="0"/>
        <w:tabs>
          <w:tab w:leader="none" w:pos="22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47</w:t>
      </w:r>
    </w:p>
    <w:p>
      <w:pPr>
        <w:spacing w:after="0" w:line="19" w:lineRule="exact"/>
        <w:rPr>
          <w:sz w:val="20"/>
          <w:szCs w:val="20"/>
          <w:color w:val="auto"/>
        </w:rPr>
      </w:pPr>
    </w:p>
    <w:p>
      <w:pPr>
        <w:ind w:left="2280" w:hanging="1324"/>
        <w:spacing w:after="0"/>
        <w:tabs>
          <w:tab w:leader="none" w:pos="228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14</w:t>
      </w:r>
    </w:p>
    <w:p>
      <w:pPr>
        <w:spacing w:after="0" w:line="19" w:lineRule="exact"/>
        <w:rPr>
          <w:sz w:val="20"/>
          <w:szCs w:val="20"/>
          <w:color w:val="auto"/>
        </w:rPr>
      </w:pPr>
    </w:p>
    <w:p>
      <w:pPr>
        <w:ind w:left="2280" w:hanging="1333"/>
        <w:spacing w:after="0"/>
        <w:tabs>
          <w:tab w:leader="none" w:pos="228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32</w:t>
      </w:r>
    </w:p>
    <w:p>
      <w:pPr>
        <w:spacing w:after="0" w:line="24" w:lineRule="exact"/>
        <w:rPr>
          <w:sz w:val="20"/>
          <w:szCs w:val="20"/>
          <w:color w:val="auto"/>
        </w:rPr>
      </w:pPr>
    </w:p>
    <w:p>
      <w:pPr>
        <w:ind w:left="2220" w:hanging="1273"/>
        <w:spacing w:after="0"/>
        <w:tabs>
          <w:tab w:leader="none" w:pos="222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1611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6" w:lineRule="exact"/>
        <w:rPr>
          <w:sz w:val="20"/>
          <w:szCs w:val="20"/>
          <w:color w:val="auto"/>
        </w:rPr>
      </w:pPr>
    </w:p>
    <w:p>
      <w:pPr>
        <w:ind w:left="2280" w:hanging="1252"/>
        <w:spacing w:after="0"/>
        <w:tabs>
          <w:tab w:leader="none" w:pos="228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21</w:t>
      </w:r>
    </w:p>
    <w:p>
      <w:pPr>
        <w:spacing w:after="0" w:line="19" w:lineRule="exact"/>
        <w:rPr>
          <w:sz w:val="20"/>
          <w:szCs w:val="20"/>
          <w:color w:val="auto"/>
        </w:rPr>
      </w:pPr>
    </w:p>
    <w:p>
      <w:pPr>
        <w:ind w:left="2280" w:hanging="1333"/>
        <w:spacing w:after="0"/>
        <w:tabs>
          <w:tab w:leader="none" w:pos="22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26</w:t>
      </w:r>
    </w:p>
    <w:p>
      <w:pPr>
        <w:spacing w:after="0" w:line="24" w:lineRule="exact"/>
        <w:rPr>
          <w:sz w:val="20"/>
          <w:szCs w:val="20"/>
          <w:color w:val="auto"/>
        </w:rPr>
      </w:pPr>
    </w:p>
    <w:p>
      <w:pPr>
        <w:ind w:left="2220" w:hanging="1327"/>
        <w:spacing w:after="0"/>
        <w:tabs>
          <w:tab w:leader="none" w:pos="222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(69)</w:t>
      </w:r>
    </w:p>
    <w:p>
      <w:pPr>
        <w:spacing w:after="0" w:line="26" w:lineRule="exact"/>
        <w:rPr>
          <w:rFonts w:ascii="Times New Roman" w:cs="Times New Roman" w:eastAsia="Times New Roman" w:hAnsi="Times New Roman"/>
          <w:sz w:val="16"/>
          <w:szCs w:val="16"/>
          <w:b w:val="1"/>
          <w:bCs w:val="1"/>
          <w:color w:val="auto"/>
        </w:rPr>
      </w:pPr>
    </w:p>
    <w:p>
      <w:pPr>
        <w:ind w:left="10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-249555</wp:posOffset>
            </wp:positionV>
            <wp:extent cx="1611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 w:lineRule="exact"/>
        <w:rPr>
          <w:sz w:val="20"/>
          <w:szCs w:val="20"/>
          <w:color w:val="auto"/>
        </w:rPr>
      </w:pPr>
    </w:p>
    <w:p>
      <w:pPr>
        <w:spacing w:after="0"/>
        <w:tabs>
          <w:tab w:leader="none" w:pos="880" w:val="left"/>
          <w:tab w:leader="none" w:pos="1300" w:val="left"/>
          <w:tab w:leader="none" w:pos="220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(34)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1611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-114935</wp:posOffset>
            </wp:positionV>
            <wp:extent cx="1611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7980" w:space="720"/>
            <w:col w:w="2540"/>
          </w:cols>
          <w:pgMar w:left="320" w:top="266" w:right="339" w:bottom="1440" w:gutter="0" w:footer="0" w:header="0"/>
        </w:sectPr>
      </w:pPr>
    </w:p>
    <w:p>
      <w:pPr>
        <w:spacing w:after="0" w:line="60" w:lineRule="exact"/>
        <w:rPr>
          <w:sz w:val="20"/>
          <w:szCs w:val="20"/>
          <w:color w:val="auto"/>
        </w:rPr>
      </w:pPr>
    </w:p>
    <w:p>
      <w:pPr>
        <w:spacing w:after="0"/>
        <w:tabs>
          <w:tab w:leader="none" w:pos="8680" w:val="left"/>
          <w:tab w:leader="none" w:pos="9460" w:val="left"/>
          <w:tab w:leader="none" w:pos="10000" w:val="left"/>
          <w:tab w:leader="none" w:pos="10780" w:val="left"/>
        </w:tabs>
        <w:rPr>
          <w:sz w:val="20"/>
          <w:szCs w:val="20"/>
          <w:color w:val="auto"/>
        </w:rPr>
      </w:pPr>
      <w:r>
        <w:rPr>
          <w:rFonts w:ascii="Times New Roman" w:cs="Times New Roman" w:eastAsia="Times New Roman" w:hAnsi="Times New Roman"/>
          <w:sz w:val="16"/>
          <w:szCs w:val="16"/>
          <w:color w:val="auto"/>
        </w:rPr>
        <w:t>Net loss per share: Basic and diluted</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(0.95)</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(1.69)</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Comprehensive Loss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183"/>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12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Pr>
          <w:p>
            <w:pPr>
              <w:spacing w:after="0"/>
              <w:rPr>
                <w:sz w:val="15"/>
                <w:szCs w:val="15"/>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December 28,</w:t>
            </w:r>
          </w:p>
        </w:tc>
        <w:tc>
          <w:tcPr>
            <w:tcW w:w="0" w:type="dxa"/>
            <w:vAlign w:val="bottom"/>
          </w:tcPr>
          <w:p>
            <w:pPr>
              <w:spacing w:after="0"/>
              <w:rPr>
                <w:sz w:val="1"/>
                <w:szCs w:val="1"/>
                <w:color w:val="auto"/>
              </w:rPr>
            </w:pPr>
          </w:p>
        </w:tc>
      </w:tr>
      <w:tr>
        <w:trPr>
          <w:trHeight w:val="100"/>
        </w:trPr>
        <w:tc>
          <w:tcPr>
            <w:tcW w:w="8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15"/>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70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tcPr>
          <w:p>
            <w:pPr>
              <w:spacing w:after="0"/>
              <w:rPr>
                <w:sz w:val="17"/>
                <w:szCs w:val="17"/>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gain (loss)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September 27,</w:t>
            </w:r>
          </w:p>
        </w:tc>
        <w:tc>
          <w:tcPr>
            <w:tcW w:w="0" w:type="dxa"/>
            <w:vAlign w:val="bottom"/>
          </w:tcPr>
          <w:p>
            <w:pPr>
              <w:spacing w:after="0"/>
              <w:rPr>
                <w:sz w:val="1"/>
                <w:szCs w:val="1"/>
                <w:color w:val="auto"/>
              </w:rPr>
            </w:pPr>
          </w:p>
        </w:tc>
      </w:tr>
      <w:tr>
        <w:trPr>
          <w:trHeight w:val="100"/>
        </w:trPr>
        <w:tc>
          <w:tcPr>
            <w:tcW w:w="8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12"/>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8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88"/>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20" w:type="dxa"/>
            <w:vAlign w:val="bottom"/>
          </w:tcPr>
          <w:p>
            <w:pPr>
              <w:spacing w:after="0"/>
              <w:rPr>
                <w:sz w:val="17"/>
                <w:szCs w:val="17"/>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1,476</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890</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3,893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3,989</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costs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88"/>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20" w:type="dxa"/>
            <w:vAlign w:val="bottom"/>
          </w:tcPr>
          <w:p>
            <w:pPr>
              <w:spacing w:after="0"/>
              <w:rPr>
                <w:sz w:val="17"/>
                <w:szCs w:val="17"/>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1,952</w:t>
            </w:r>
          </w:p>
        </w:tc>
        <w:tc>
          <w:tcPr>
            <w:tcW w:w="0" w:type="dxa"/>
            <w:vAlign w:val="bottom"/>
          </w:tcPr>
          <w:p>
            <w:pPr>
              <w:spacing w:after="0"/>
              <w:rPr>
                <w:sz w:val="1"/>
                <w:szCs w:val="1"/>
                <w:color w:val="auto"/>
              </w:rPr>
            </w:pPr>
          </w:p>
        </w:tc>
      </w:tr>
      <w:tr>
        <w:trPr>
          <w:trHeight w:val="20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r>
        <w:trPr>
          <w:trHeight w:val="381"/>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24"/>
                <w:szCs w:val="24"/>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(35.9 and 35.6 million shares issued, respectively)</w:t>
            </w: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1,417</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loss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196"/>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3,893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Cash Flows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183"/>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12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Pr>
          <w:p>
            <w:pPr>
              <w:spacing w:after="0"/>
              <w:rPr>
                <w:sz w:val="15"/>
                <w:szCs w:val="15"/>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0" w:type="dxa"/>
            <w:vAlign w:val="bottom"/>
          </w:tcPr>
          <w:p>
            <w:pPr>
              <w:spacing w:after="0"/>
              <w:rPr>
                <w:sz w:val="1"/>
                <w:szCs w:val="1"/>
                <w:color w:val="auto"/>
              </w:rPr>
            </w:pPr>
          </w:p>
        </w:tc>
      </w:tr>
      <w:tr>
        <w:trPr>
          <w:trHeight w:val="100"/>
        </w:trPr>
        <w:tc>
          <w:tcPr>
            <w:tcW w:w="8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15"/>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700" w:type="dxa"/>
            <w:vAlign w:val="bottom"/>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cash from operating activities:</w:t>
            </w:r>
          </w:p>
        </w:tc>
        <w:tc>
          <w:tcPr>
            <w:tcW w:w="120" w:type="dxa"/>
            <w:vAlign w:val="bottom"/>
          </w:tcPr>
          <w:p>
            <w:pPr>
              <w:spacing w:after="0"/>
              <w:rPr>
                <w:sz w:val="17"/>
                <w:szCs w:val="17"/>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operating activities, net</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Changes in working capital, net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other assets and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cash from (used in) operating activities</w:t>
            </w:r>
          </w:p>
        </w:tc>
        <w:tc>
          <w:tcPr>
            <w:tcW w:w="1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381"/>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Cash acquired from merger</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cash from (used in) investing activities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81"/>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Pr>
          <w:p>
            <w:pPr>
              <w:spacing w:after="0"/>
              <w:rPr>
                <w:sz w:val="24"/>
                <w:szCs w:val="24"/>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04"/>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Repayments on long-term borrowings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Transfers from (to) parent, net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1"/>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Cash distributions to parent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Debt fees and other,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6"/>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cash from (used in) financing activities</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6"/>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Berry 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7"/>
                <w:szCs w:val="17"/>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40" w:type="dxa"/>
            <w:vAlign w:val="bottom"/>
          </w:tcPr>
          <w:p>
            <w:pPr>
              <w:spacing w:after="0"/>
              <w:rPr>
                <w:sz w:val="17"/>
                <w:szCs w:val="17"/>
                <w:color w:val="auto"/>
              </w:rPr>
            </w:pPr>
          </w:p>
        </w:tc>
        <w:tc>
          <w:tcPr>
            <w:tcW w:w="98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 -</w:t>
            </w: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millions of dollars)</w:t>
            </w:r>
          </w:p>
        </w:tc>
        <w:tc>
          <w:tcPr>
            <w:tcW w:w="80" w:type="dxa"/>
            <w:vAlign w:val="bottom"/>
          </w:tcPr>
          <w:p>
            <w:pPr>
              <w:spacing w:after="0"/>
              <w:rPr>
                <w:sz w:val="17"/>
                <w:szCs w:val="17"/>
                <w:color w:val="auto"/>
              </w:rPr>
            </w:pP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0" w:type="dxa"/>
            <w:vAlign w:val="bottom"/>
          </w:tcPr>
          <w:p>
            <w:pPr>
              <w:spacing w:after="0"/>
              <w:rPr>
                <w:sz w:val="17"/>
                <w:szCs w:val="17"/>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40" w:type="dxa"/>
            <w:vAlign w:val="bottom"/>
          </w:tcPr>
          <w:p>
            <w:pPr>
              <w:spacing w:after="0"/>
              <w:rPr>
                <w:sz w:val="17"/>
                <w:szCs w:val="17"/>
                <w:color w:val="auto"/>
              </w:rPr>
            </w:pPr>
          </w:p>
        </w:tc>
        <w:tc>
          <w:tcPr>
            <w:tcW w:w="9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04"/>
        </w:trPr>
        <w:tc>
          <w:tcPr>
            <w:tcW w:w="33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September 27, 2025</w:t>
            </w: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3320" w:type="dxa"/>
            <w:vAlign w:val="bottom"/>
            <w:vMerge w:val="continue"/>
          </w:tcPr>
          <w:p>
            <w:pPr>
              <w:spacing w:after="0"/>
              <w:rPr>
                <w:sz w:val="16"/>
                <w:szCs w:val="16"/>
                <w:color w:val="auto"/>
              </w:rPr>
            </w:pPr>
          </w:p>
        </w:tc>
        <w:tc>
          <w:tcPr>
            <w:tcW w:w="940" w:type="dxa"/>
            <w:vAlign w:val="bottom"/>
            <w:tcBorders>
              <w:top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202"/>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27, 2025</w:t>
            </w:r>
          </w:p>
        </w:tc>
        <w:tc>
          <w:tcPr>
            <w:tcW w:w="940" w:type="dxa"/>
            <w:vAlign w:val="bottom"/>
            <w:tcBorders>
              <w:top w:val="single" w:sz="8" w:color="auto"/>
              <w:bottom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1,038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28, 2024</w:t>
            </w:r>
          </w:p>
        </w:tc>
        <w:tc>
          <w:tcPr>
            <w:tcW w:w="94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24"/>
                <w:szCs w:val="24"/>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Cash distribution to parent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Transfers from parent, net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 of parent’s net investment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Acquisition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December 28, 2024</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(tables in millions of dollars, except per share data)</w:t>
      </w:r>
    </w:p>
    <w:p>
      <w:pPr>
        <w:spacing w:after="0" w:line="251"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23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On November 4, 2024 (the “Closing Date”), Treasure Holdco, Inc., which was a wholly owned subsidiary of Berry Global Group, Inc. (“Berry”), completed its merger (the “merger”) with the Glatfelter Corporation which concurrently changed its name to Magnera Corporation.</w:t>
      </w:r>
    </w:p>
    <w:p>
      <w:pPr>
        <w:spacing w:after="0" w:line="164"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The Consolidated and Combined Financial Statements contain combined financial statements for the fiscal periods prior to the Closing Date of the merger and were prepared on a stand-alone basis. The pre-merger Combined Financial Statements of Operations, Comprehensive Income (Loss), Cash Flows and Changes in Equity have been prepared on a carve-out basis, which include assumptions underlying the preparation that management believe are reasonable. However, the combined pre-merger financial information included herein may not necessarily reflect the Company’s results of operations, comprehensive income (loss), cash flows and changes in equity had the Company been an independent stand-alone company during the periods presented.</w:t>
      </w:r>
    </w:p>
    <w:p>
      <w:pPr>
        <w:spacing w:after="0" w:line="18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accompanying unaudited Consolidated and Combined Financial Statements of Magnera have been prepared in accordance with accounting principles generally accepted in the United States (“GAAP”) pursuant to the rules and regulations of the Securities and Exchange Commission (the "SEC") for interim reporting. In preparing financial statements in conformity with GAAP, we must make estimates and assumptions that affect the reported amounts and disclosures at the date of the financial statements and during the reporting period. Actual results could differ from those estimates. In the opinion of management, all adjustments (consisting of normal recurring adjustments) considered necessary for a fair presentation have been included, and all subsequent events up to the time of the filing have been evaluated. For further information, refer to the Company’s Form 10-K filed with the SEC on November 25,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22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In 2023, the Financial Accounting Standards Board ("FASB") issued guidance with the goal of providing more information in the income tax reconciliation table and regarding income taxes paid. This Accounting Standard Update ("ASU") is effective for fiscal years beginning after December 15, 2024, may be applied prospectively or retrospectively, and allows for early adoption. The Company is currently evaluating the impact of adopting this guidance.</w:t>
      </w:r>
    </w:p>
    <w:p>
      <w:pPr>
        <w:spacing w:after="0" w:line="164"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In 2024, the FASB issued guidance with the goal of providing more expense information for certain categories of expenses that are included in line items on the face of the statements of operations. This ASU is effective for fiscal years beginning after December 15, 2026 and for interim periods beginning after December 15, 2027, and may be adopted on a prospective or retrospective basis and allows for early adoption. The Company is currently evaluating the impact of adopting this guidance.</w:t>
      </w:r>
    </w:p>
    <w:p>
      <w:pPr>
        <w:spacing w:after="0" w:line="17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and Accounts Receivable</w:t>
      </w:r>
    </w:p>
    <w:p>
      <w:pPr>
        <w:spacing w:after="0" w:line="22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Revenue is recognized when performance obligations are satisfied, in an amount reflecting the consideration to which the Company expects to be entitled. We consider the promise to transfer products to be our sole performance obligation. Generally, our revenue is recognized for standard promised goods at the time of shipment, when title and risk of loss pass to the customer. The Company disaggregates revenue based on reportable business segment, geography, and significant product line. See Note 8. Segment and Geographic Data.</w:t>
      </w:r>
    </w:p>
    <w:p>
      <w:pPr>
        <w:spacing w:after="0" w:line="16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Company records current expected credit losses based on a variety of factors including historical loss experience and current customer financial condition. The reserve as of each period end and changes to our current expected credit losses, write-off activity, and recoveries were not material for any of the periods presented.</w:t>
      </w:r>
    </w:p>
    <w:p>
      <w:pPr>
        <w:spacing w:after="0" w:line="15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Company participates in customer supply chain financing programs to collect certain receivables through third-party financial institutions. These arrangements qualify as true sales, as the receivables are transferred without recourse. As a result, the balances are removed from trade receivables on the balance sheet, and the cash proceeds are reported as operating cash flows.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ind w:left="540" w:hanging="487"/>
        <w:spacing w:after="0"/>
        <w:tabs>
          <w:tab w:leader="none" w:pos="54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Restructuring and Other Activities</w:t>
      </w:r>
    </w:p>
    <w:p>
      <w:pPr>
        <w:spacing w:after="0" w:line="27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During fiscal year 2025, the Company announced cost savings initiatives including plant rationalizations in all segments as part of the Project CORE restructuring plan. The project is expected to be carried out over the next two fiscal years, with the operations savings intended to counter general economic softness.</w:t>
      </w:r>
    </w:p>
    <w:p>
      <w:pPr>
        <w:spacing w:after="0" w:line="15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The table below sets forth the significant components of the Restructuring and other activities, including supply chain financings activity charges recognized for the periods presented, by reportable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Pr>
          <w:p>
            <w:pPr>
              <w:spacing w:after="0"/>
              <w:rPr>
                <w:sz w:val="15"/>
                <w:szCs w:val="15"/>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December 28,</w:t>
            </w:r>
          </w:p>
        </w:tc>
        <w:tc>
          <w:tcPr>
            <w:tcW w:w="0" w:type="dxa"/>
            <w:vAlign w:val="bottom"/>
          </w:tcPr>
          <w:p>
            <w:pPr>
              <w:spacing w:after="0"/>
              <w:rPr>
                <w:sz w:val="1"/>
                <w:szCs w:val="1"/>
                <w:color w:val="auto"/>
              </w:rPr>
            </w:pPr>
          </w:p>
        </w:tc>
      </w:tr>
      <w:tr>
        <w:trPr>
          <w:trHeight w:val="215"/>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Americas</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2024</w:t>
            </w:r>
          </w:p>
        </w:tc>
        <w:tc>
          <w:tcPr>
            <w:tcW w:w="0" w:type="dxa"/>
            <w:vAlign w:val="bottom"/>
          </w:tcPr>
          <w:p>
            <w:pPr>
              <w:spacing w:after="0"/>
              <w:rPr>
                <w:sz w:val="1"/>
                <w:szCs w:val="1"/>
                <w:color w:val="auto"/>
              </w:rPr>
            </w:pPr>
          </w:p>
        </w:tc>
      </w:tr>
      <w:tr>
        <w:trPr>
          <w:trHeight w:val="183"/>
        </w:trPr>
        <w:tc>
          <w:tcPr>
            <w:tcW w:w="4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870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color w:val="auto"/>
              </w:rPr>
              <w:t>The table below sets forth the activity with respect to the Restructuring and other activities accrual at December 27, 2025:</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700" w:type="dxa"/>
            <w:vAlign w:val="bottom"/>
            <w:gridSpan w:val="11"/>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Integration</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Employee Severance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Facility Exit</w:t>
            </w:r>
          </w:p>
        </w:tc>
        <w:tc>
          <w:tcPr>
            <w:tcW w:w="180" w:type="dxa"/>
            <w:vAlign w:val="bottom"/>
          </w:tcPr>
          <w:p>
            <w:pPr>
              <w:spacing w:after="0"/>
              <w:rPr>
                <w:sz w:val="16"/>
                <w:szCs w:val="16"/>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Non-Cash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Balance at September 27, 2025</w:t>
            </w:r>
          </w:p>
        </w:tc>
        <w:tc>
          <w:tcPr>
            <w:tcW w:w="100" w:type="dxa"/>
            <w:vAlign w:val="bottom"/>
          </w:tcPr>
          <w:p>
            <w:pPr>
              <w:spacing w:after="0"/>
              <w:rPr>
                <w:sz w:val="18"/>
                <w:szCs w:val="18"/>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and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6"/>
        </w:trPr>
        <w:tc>
          <w:tcPr>
            <w:tcW w:w="4300" w:type="dxa"/>
            <w:vAlign w:val="bottom"/>
            <w:gridSpan w:val="2"/>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Charges</w:t>
            </w:r>
          </w:p>
        </w:tc>
        <w:tc>
          <w:tcPr>
            <w:tcW w:w="10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w:t>
            </w: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items</w:t>
            </w:r>
          </w:p>
        </w:tc>
        <w:tc>
          <w:tcPr>
            <w:tcW w:w="10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27,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39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20" w:type="dxa"/>
            <w:vAlign w:val="bottom"/>
            <w:vMerge w:val="continue"/>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leases certain manufacturing facilities, warehouses, office space, manufacturing equipment, office equipment, and automobiles.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lease information is as follows:</w:t>
            </w:r>
          </w:p>
        </w:tc>
        <w:tc>
          <w:tcPr>
            <w:tcW w:w="2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September 27, 2025</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2140" w:type="dxa"/>
            <w:vAlign w:val="bottom"/>
          </w:tcPr>
          <w:p>
            <w:pPr>
              <w:spacing w:after="0"/>
              <w:rPr>
                <w:sz w:val="16"/>
                <w:szCs w:val="16"/>
                <w:color w:val="auto"/>
              </w:rPr>
            </w:pPr>
          </w:p>
        </w:tc>
        <w:tc>
          <w:tcPr>
            <w:tcW w:w="2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Right-of-use asset</w:t>
            </w:r>
          </w:p>
        </w:tc>
        <w:tc>
          <w:tcPr>
            <w:tcW w:w="2700" w:type="dxa"/>
            <w:vAlign w:val="bottom"/>
            <w:gridSpan w:val="3"/>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53"/>
        </w:trPr>
        <w:tc>
          <w:tcPr>
            <w:tcW w:w="3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00" w:type="dxa"/>
            <w:vAlign w:val="bottom"/>
          </w:tcPr>
          <w:p>
            <w:pPr>
              <w:jc w:val="right"/>
              <w:ind w:right="2249"/>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3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6"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5.</w:t>
            </w:r>
          </w:p>
        </w:tc>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05"/>
        </w:trPr>
        <w:tc>
          <w:tcPr>
            <w:tcW w:w="5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consists of the following:</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8"/>
        </w:trPr>
        <w:tc>
          <w:tcPr>
            <w:tcW w:w="5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September 27, 2025</w:t>
            </w:r>
          </w:p>
        </w:tc>
      </w:tr>
      <w:tr>
        <w:trPr>
          <w:trHeight w:val="186"/>
        </w:trPr>
        <w:tc>
          <w:tcPr>
            <w:tcW w:w="5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Term loan</w:t>
            </w:r>
          </w:p>
        </w:tc>
        <w:tc>
          <w:tcPr>
            <w:tcW w:w="80" w:type="dxa"/>
            <w:vAlign w:val="bottom"/>
          </w:tcPr>
          <w:p>
            <w:pPr>
              <w:spacing w:after="0"/>
              <w:rPr>
                <w:sz w:val="16"/>
                <w:szCs w:val="16"/>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November 2031</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731</w:t>
            </w:r>
          </w:p>
        </w:tc>
      </w:tr>
      <w:tr>
        <w:trPr>
          <w:trHeight w:val="203"/>
        </w:trPr>
        <w:tc>
          <w:tcPr>
            <w:tcW w:w="5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November 2029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4.75% First Priority Senior Secured Notes</w:t>
            </w: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October 2029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203"/>
        </w:trPr>
        <w:tc>
          <w:tcPr>
            <w:tcW w:w="5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7.25% First Priority Senior Secured Notes</w:t>
            </w: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November 2031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800</w:t>
            </w:r>
          </w:p>
        </w:tc>
      </w:tr>
      <w:tr>
        <w:trPr>
          <w:trHeight w:val="212"/>
        </w:trPr>
        <w:tc>
          <w:tcPr>
            <w:tcW w:w="5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 discounts, deferred fees and other</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2"/>
        </w:trPr>
        <w:tc>
          <w:tcPr>
            <w:tcW w:w="14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1,931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1,952</w:t>
            </w:r>
          </w:p>
        </w:tc>
      </w:tr>
      <w:tr>
        <w:trPr>
          <w:trHeight w:val="20"/>
        </w:trPr>
        <w:tc>
          <w:tcPr>
            <w:tcW w:w="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Despite not having financial maintenance covenants on our Term Loan and secured notes, these agreements do contain certain negative covenants. The failure to comply with these negative covenants could restrict our ability to incur additional indebtedness, effect acquisitions, enter into certain significant business combinations, make distributions or redeem indebtedness. We are in compliance with all covenants as of December 27, 2025.</w:t>
      </w:r>
    </w:p>
    <w:p>
      <w:pPr>
        <w:spacing w:after="0" w:line="162"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 and Fair Value Measurements</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the normal course of business, the Company is exposed to certain risks arising from business operations and economic factors. The Company may use derivative financial instruments to help manage market risk and reduce the exposure to fluctuations in foreign currencies and interest rates. These financial instruments are not used for trading or other speculative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Cross-Currency Swaps</w:t>
      </w:r>
    </w:p>
    <w:p>
      <w:pPr>
        <w:spacing w:after="0" w:line="22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Company is party to certain cross-currency swaps to hedge a portion of our foreign currency risk. The swap agreements mature November 2027 (€250 million) and November 2029 (€425 million). The swaps are designated as a hedge of the Company’s foreign currency investment in foreign subsidiaries. The activity on net investment hedges, net of tax, recorded in Accumulated other comprehensive loss for the quarter ended December 27, 2025 and December 28, 2024 was $(2) million and $8 million respectively. When valuing cross-currency swaps, the Company utilizes Level 2 inputs (substantially observable).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records the fair value positions of all derivative financial instruments on a net basis by counterparty for which a master netting arrangement is utilized.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on a gross basis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tc>
        <w:tc>
          <w:tcPr>
            <w:tcW w:w="29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00" w:type="dxa"/>
            <w:vAlign w:val="bottom"/>
          </w:tcPr>
          <w:p>
            <w:pPr>
              <w:spacing w:after="0"/>
              <w:rPr>
                <w:sz w:val="18"/>
                <w:szCs w:val="18"/>
                <w:color w:val="auto"/>
              </w:rPr>
            </w:pPr>
          </w:p>
        </w:tc>
        <w:tc>
          <w:tcPr>
            <w:tcW w:w="164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September 27, 2025</w:t>
            </w:r>
          </w:p>
        </w:tc>
      </w:tr>
      <w:tr>
        <w:trPr>
          <w:trHeight w:val="212"/>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Cross-currency swaps</w:t>
            </w:r>
          </w:p>
        </w:tc>
        <w:tc>
          <w:tcPr>
            <w:tcW w:w="120" w:type="dxa"/>
            <w:vAlign w:val="bottom"/>
          </w:tcPr>
          <w:p>
            <w:pPr>
              <w:spacing w:after="0"/>
              <w:rPr>
                <w:sz w:val="18"/>
                <w:szCs w:val="18"/>
                <w:color w:val="auto"/>
              </w:rPr>
            </w:pPr>
          </w:p>
        </w:tc>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Designated</w:t>
            </w:r>
          </w:p>
        </w:tc>
        <w:tc>
          <w:tcPr>
            <w:tcW w:w="100" w:type="dxa"/>
            <w:vAlign w:val="bottom"/>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 of the Company’s derivative financial instruments on the Consolidated and Combined Statements of Operations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tc>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Statements of Operations Location</w:t>
            </w: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199"/>
        </w:trPr>
        <w:tc>
          <w:tcPr>
            <w:tcW w:w="2380" w:type="dxa"/>
            <w:vAlign w:val="bottom"/>
            <w:gridSpan w:val="2"/>
            <w:vMerge w:val="continue"/>
          </w:tcPr>
          <w:p>
            <w:pPr>
              <w:spacing w:after="0"/>
              <w:rPr>
                <w:sz w:val="17"/>
                <w:szCs w:val="17"/>
                <w:color w:val="auto"/>
              </w:rPr>
            </w:pPr>
          </w:p>
        </w:tc>
        <w:tc>
          <w:tcPr>
            <w:tcW w:w="5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December 28, 2024</w:t>
            </w:r>
          </w:p>
        </w:tc>
        <w:tc>
          <w:tcPr>
            <w:tcW w:w="0" w:type="dxa"/>
            <w:vAlign w:val="bottom"/>
          </w:tcPr>
          <w:p>
            <w:pPr>
              <w:spacing w:after="0"/>
              <w:rPr>
                <w:sz w:val="1"/>
                <w:szCs w:val="1"/>
                <w:color w:val="auto"/>
              </w:rPr>
            </w:pPr>
          </w:p>
        </w:tc>
      </w:tr>
      <w:tr>
        <w:trPr>
          <w:trHeight w:val="206"/>
        </w:trPr>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Cross-currency swaps</w:t>
            </w:r>
          </w:p>
        </w:tc>
        <w:tc>
          <w:tcPr>
            <w:tcW w:w="100" w:type="dxa"/>
            <w:vAlign w:val="bottom"/>
          </w:tcPr>
          <w:p>
            <w:pPr>
              <w:spacing w:after="0"/>
              <w:rPr>
                <w:sz w:val="17"/>
                <w:szCs w:val="17"/>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Non-recurring Fair Value Measurements</w:t>
      </w:r>
    </w:p>
    <w:p>
      <w:pPr>
        <w:spacing w:after="0" w:line="22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The Company has certain assets that are measured at fair value on a non-recurring basis when impairment indicators are present or when the Company completes an acquisition. The Company adjusts certain long-lived assets to fair value only when the carrying values exceed the fair values. The categorization of the framework used to value the assets is considered Level 3, due to the subjective nature of the unobservable inputs used to determine the fair value. These assets that are subject to our impairment analysis primarily include our definite lived and indefinite lived intangible assets, including Goodwill and our Property, plant and equipment. The Company reviews Goodwill and other indefinite lived assets for impairment as of the first day of the fourth fiscal quarter each year and more frequently if impairment indicators exist. No impairment indicators were identified in the current quarter, but future declines in our expected operating performance or sustained periods of lower valuation market multiples could result in impairment charges in the future.</w:t>
      </w:r>
    </w:p>
    <w:p>
      <w:pPr>
        <w:spacing w:after="0" w:line="17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Company’s financial instruments consist primarily of cash and cash equivalents, long-term debt, and cross-currency swap agreements. The book value of our marketable long-term indebtedness exceeded fair value by $56 million as of December 27, 2025. The Company’s long-term debt fair values were determined using Level 2 inputs (substantially observable).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0" w:name="page11"/>
    <w:bookmarkEnd w:id="10"/>
    <w:p>
      <w:pPr>
        <w:ind w:left="500" w:hanging="492"/>
        <w:spacing w:after="0"/>
        <w:tabs>
          <w:tab w:leader="none" w:pos="50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23" w:lineRule="exact"/>
        <w:rPr>
          <w:sz w:val="20"/>
          <w:szCs w:val="20"/>
          <w:color w:val="auto"/>
        </w:rPr>
      </w:pPr>
    </w:p>
    <w:p>
      <w:pPr>
        <w:ind w:right="120" w:firstLine="38"/>
        <w:spacing w:after="0" w:line="281" w:lineRule="auto"/>
        <w:rPr>
          <w:sz w:val="20"/>
          <w:szCs w:val="20"/>
          <w:color w:val="auto"/>
        </w:rPr>
      </w:pPr>
      <w:r>
        <w:rPr>
          <w:rFonts w:ascii="Times New Roman" w:cs="Times New Roman" w:eastAsia="Times New Roman" w:hAnsi="Times New Roman"/>
          <w:sz w:val="16"/>
          <w:szCs w:val="16"/>
          <w:color w:val="auto"/>
        </w:rPr>
        <w:t>The year-to-date effective income tax rate was unfavorably impacted by the jurisdictional mix of pre-tax results among the Company and its subsidiaries and losses, which generate no tax benefit in domestic and certain foreign jurisdictions. Foreign income taxed in the U.S., as well as certain changes in applicable withholding taxes, also unfavorably influenced the effective tax rate.</w:t>
      </w:r>
    </w:p>
    <w:p>
      <w:pPr>
        <w:spacing w:after="0" w:line="162"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and Geographic Data</w:t>
      </w:r>
    </w:p>
    <w:p>
      <w:pPr>
        <w:spacing w:after="0" w:line="22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The Company’s operations are organized into two operating and reportable segments: Americas and Rest of World. The structure is designed to align us with our customers, provide improved service, drive future growth, and to facilitate synergy realization. Adjusted EBITDA is the primary measure of profit (loss) used by the chief operating decision maker ("CODM"), our CEO, to evaluate the performance of and allocate resources among our reportable segments. The Company defines Adjusted EBITDA as operating income adjusted to eliminate the impact of certain items that the Company does not consider indicative of its ongoing operating performance. The Company's management, including the CODM, uses Adjusted EBITDA to evaluate segment performance and allocate resources. The accounting policies of the reportable segments are the same as those in the Consolidated and Combined Financial Statements. The Company's CODM uses consolidated expense information in the evaluation of segment performance and to allocate resources and is not regularly provided disaggregated expense information for each of the reportable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Selected information by reportable segment is presented in the following tables: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8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199"/>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December 28, 2024</w:t>
            </w:r>
          </w:p>
        </w:tc>
        <w:tc>
          <w:tcPr>
            <w:tcW w:w="0" w:type="dxa"/>
            <w:vAlign w:val="bottom"/>
          </w:tcPr>
          <w:p>
            <w:pPr>
              <w:spacing w:after="0"/>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2"/>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Segment operating expenses</w:t>
            </w:r>
            <w:r>
              <w:rPr>
                <w:rFonts w:ascii="Times New Roman" w:cs="Times New Roman" w:eastAsia="Times New Roman" w:hAnsi="Times New Roman"/>
                <w:sz w:val="26"/>
                <w:szCs w:val="26"/>
                <w:b w:val="1"/>
                <w:bCs w:val="1"/>
                <w:color w:val="auto"/>
                <w:vertAlign w:val="superscript"/>
              </w:rPr>
              <w:t>(4)</w:t>
            </w: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00" w:type="dxa"/>
            <w:vAlign w:val="bottom"/>
            <w:vMerge w:val="continue"/>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2"/>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segment operating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00" w:type="dxa"/>
            <w:vAlign w:val="bottom"/>
            <w:vMerge w:val="continue"/>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2"/>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adjusted EBITDA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Reconciling items:</w:t>
            </w: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00" w:type="dxa"/>
            <w:vAlign w:val="bottom"/>
            <w:vMerge w:val="continue"/>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6"/>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transaction, business optimization and other activities</w:t>
            </w:r>
          </w:p>
        </w:tc>
        <w:tc>
          <w:tcPr>
            <w:tcW w:w="1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43"/>
        </w:trPr>
        <w:tc>
          <w:tcPr>
            <w:tcW w:w="810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Argentina hyperinflation</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10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Corporate expense allocation</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55"/>
        </w:trPr>
        <w:tc>
          <w:tcPr>
            <w:tcW w:w="8100" w:type="dxa"/>
            <w:vAlign w:val="bottom"/>
          </w:tcPr>
          <w:p>
            <w:pPr>
              <w:spacing w:after="0" w:line="255" w:lineRule="exact"/>
              <w:rPr>
                <w:sz w:val="20"/>
                <w:szCs w:val="20"/>
                <w:color w:val="auto"/>
              </w:rPr>
            </w:pPr>
            <w:r>
              <w:rPr>
                <w:rFonts w:ascii="Times New Roman" w:cs="Times New Roman" w:eastAsia="Times New Roman" w:hAnsi="Times New Roman"/>
                <w:sz w:val="16"/>
                <w:szCs w:val="16"/>
                <w:color w:val="auto"/>
              </w:rPr>
              <w:t>Other non-cash charges</w:t>
            </w:r>
            <w:r>
              <w:rPr>
                <w:rFonts w:ascii="Times New Roman" w:cs="Times New Roman" w:eastAsia="Times New Roman" w:hAnsi="Times New Roman"/>
                <w:sz w:val="26"/>
                <w:szCs w:val="26"/>
                <w:color w:val="auto"/>
                <w:vertAlign w:val="superscript"/>
              </w:rPr>
              <w:t>(3)</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80"/>
        </w:trPr>
        <w:tc>
          <w:tcPr>
            <w:tcW w:w="810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Operating income (loss)</w:t>
            </w:r>
          </w:p>
        </w:tc>
        <w:tc>
          <w:tcPr>
            <w:tcW w:w="100" w:type="dxa"/>
            <w:vAlign w:val="bottom"/>
          </w:tcPr>
          <w:p>
            <w:pPr>
              <w:spacing w:after="0"/>
              <w:rPr>
                <w:sz w:val="15"/>
                <w:szCs w:val="15"/>
                <w:color w:val="auto"/>
              </w:rPr>
            </w:pPr>
          </w:p>
        </w:tc>
        <w:tc>
          <w:tcPr>
            <w:tcW w:w="1440" w:type="dxa"/>
            <w:vAlign w:val="bottom"/>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 and other expense (income), net</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2"/>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Impact of hyperinflation includes the adverse impact of highly inflationary accounting for subsidiaries in Argentina where the functional currency was the Argentine Peso</w:t>
      </w:r>
    </w:p>
    <w:p>
      <w:pPr>
        <w:spacing w:after="0" w:line="55"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Consists of estimated parent-allocated charges for the prior year merger which is required by GAAP as part of the carve-out financial statement process</w:t>
      </w:r>
    </w:p>
    <w:p>
      <w:pPr>
        <w:spacing w:after="0" w:line="55" w:lineRule="exact"/>
        <w:rPr>
          <w:rFonts w:ascii="Times New Roman" w:cs="Times New Roman" w:eastAsia="Times New Roman" w:hAnsi="Times New Roman"/>
          <w:sz w:val="14"/>
          <w:szCs w:val="14"/>
          <w:i w:val="1"/>
          <w:iCs w:val="1"/>
          <w:color w:val="auto"/>
        </w:rPr>
      </w:pPr>
    </w:p>
    <w:p>
      <w:pPr>
        <w:ind w:left="340" w:right="200" w:hanging="332"/>
        <w:spacing w:after="0" w:line="330" w:lineRule="auto"/>
        <w:tabs>
          <w:tab w:leader="none" w:pos="328"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Includes stock compensation expense and other non-cash items, including $3 million of Restructuring and other expenses and $12 million of inventory step-up charges related to the prior year merger in the quarter ended December 27, 2025 and December 28, 2024, respectively</w:t>
      </w:r>
    </w:p>
    <w:p>
      <w:pPr>
        <w:spacing w:after="0" w:line="2" w:lineRule="exact"/>
        <w:rPr>
          <w:rFonts w:ascii="Times New Roman" w:cs="Times New Roman" w:eastAsia="Times New Roman" w:hAnsi="Times New Roman"/>
          <w:sz w:val="14"/>
          <w:szCs w:val="14"/>
          <w:i w:val="1"/>
          <w:iCs w:val="1"/>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Segment operating expenses include primarily cost of goods sold and selling, general and administrative expenses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5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5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2"/>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Total assets and capital expenditures by segment are not disclosed as the CODM does not utilize these measures to evaluate segment performance or allocate resources and capital.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Selected information by geographical region is presented in the following table:</w:t>
            </w:r>
          </w:p>
        </w:tc>
        <w:tc>
          <w:tcPr>
            <w:tcW w:w="100" w:type="dxa"/>
            <w:vAlign w:val="bottom"/>
          </w:tcPr>
          <w:p>
            <w:pPr>
              <w:spacing w:after="0"/>
              <w:rPr>
                <w:sz w:val="18"/>
                <w:szCs w:val="18"/>
                <w:color w:val="auto"/>
              </w:rPr>
            </w:pPr>
          </w:p>
        </w:tc>
        <w:tc>
          <w:tcPr>
            <w:tcW w:w="3060" w:type="dxa"/>
            <w:vAlign w:val="bottom"/>
            <w:gridSpan w:val="7"/>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December 28,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100" w:type="dxa"/>
            <w:vAlign w:val="bottom"/>
            <w:gridSpan w:val="3"/>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vMerge w:val="restart"/>
          </w:tcPr>
          <w:p>
            <w:pPr>
              <w:ind w:left="1080"/>
              <w:spacing w:after="0"/>
              <w:rPr>
                <w:sz w:val="20"/>
                <w:szCs w:val="20"/>
                <w:color w:val="auto"/>
              </w:rPr>
            </w:pPr>
            <w:r>
              <w:rPr>
                <w:rFonts w:ascii="Times New Roman" w:cs="Times New Roman" w:eastAsia="Times New Roman" w:hAnsi="Times New Roman"/>
                <w:sz w:val="16"/>
                <w:szCs w:val="16"/>
                <w:b w:val="1"/>
                <w:bCs w:val="1"/>
                <w:color w:val="auto"/>
              </w:rPr>
              <w:t>341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United States and Canada</w:t>
            </w:r>
          </w:p>
        </w:tc>
        <w:tc>
          <w:tcPr>
            <w:tcW w:w="10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Latin America</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352</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792</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Selected information by product line is presented in the following table:</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203"/>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 percentages)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gridSpan w:val="2"/>
            <w:vMerge w:val="continue"/>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December 28,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b w:val="1"/>
                <w:bCs w:val="1"/>
                <w:color w:val="auto"/>
                <w:w w:val="93"/>
              </w:rPr>
              <w:t>44%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Personal Care</w:t>
            </w: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2"/>
        </w:trPr>
        <w:tc>
          <w:tcPr>
            <w:tcW w:w="8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Solutions</w:t>
            </w:r>
          </w:p>
        </w:tc>
        <w:tc>
          <w:tcPr>
            <w:tcW w:w="100" w:type="dxa"/>
            <w:vAlign w:val="bottom"/>
          </w:tcPr>
          <w:p>
            <w:pPr>
              <w:spacing w:after="0"/>
              <w:rPr>
                <w:sz w:val="18"/>
                <w:szCs w:val="18"/>
                <w:color w:val="auto"/>
              </w:rPr>
            </w:pPr>
          </w:p>
        </w:tc>
        <w:tc>
          <w:tcPr>
            <w:tcW w:w="140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w w:val="93"/>
              </w:rPr>
              <w:t>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Contingencies and Commitments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22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The Company is party to various legal proceedings involving routine claims which are incidental to its business. Although the Company’s legal and financial liability with respect to such proceedings cannot be estimated with certainty, the Company believes that any ultimate liability would not be material to its Consolidated Balance Sheet, Consolidated and Combined Statements of Operations, or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Claims</w:t>
      </w:r>
    </w:p>
    <w:p>
      <w:pPr>
        <w:spacing w:after="0" w:line="225"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6"/>
          <w:szCs w:val="16"/>
          <w:color w:val="auto"/>
        </w:rPr>
        <w:t>Over the next 29 years, we are primarily responsible for the reimbursement of government oversight costs associated with certain environmental claims regarding the Fox River located in Wisconsin. At December 27, 2025, the outstanding balance of the environmental liability and corresponding escrow asset was $17 million and $9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Claims</w:t>
      </w:r>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6"/>
          <w:szCs w:val="16"/>
          <w:color w:val="auto"/>
        </w:rPr>
        <w:t>As part of a previous acquisition, the Company acquired a liability related to certain tax claims. Depending on the resolution of the tax claim, the settlement will range between $40 million and $58 million as of December 27, 2025 with an eventual payment to the Brazilian government and/or the selling stockholders of the previous acquisition. The Company has recorded an estimated tax liability on the Consolidated Balance Sheets in Other long-term liabilities as the settlement of existing and potential claims is expected to be greater than one year.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2" w:name="page13"/>
    <w:bookmarkEnd w:id="12"/>
    <w:p>
      <w:pPr>
        <w:ind w:left="540" w:hanging="532"/>
        <w:spacing w:after="0"/>
        <w:tabs>
          <w:tab w:leader="none" w:pos="54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Basic and Diluted Net Loss Per Share</w:t>
      </w:r>
    </w:p>
    <w:p>
      <w:pPr>
        <w:spacing w:after="0" w:line="223"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Basic net income or earnings per share ("EPS") is calculated by dividing the net income attributable to common stockholders by the weighted-average number of common shares outstanding during the period, without consideration for common stock equivalents.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tables provide a reconciliation of the numerator and denominator of the basic and diluted EPS calculations: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0" w:type="dxa"/>
            <w:vAlign w:val="bottom"/>
          </w:tcPr>
          <w:p>
            <w:pPr>
              <w:spacing w:after="0"/>
              <w:rPr>
                <w:sz w:val="1"/>
                <w:szCs w:val="1"/>
                <w:color w:val="auto"/>
              </w:rPr>
            </w:pPr>
          </w:p>
        </w:tc>
      </w:tr>
      <w:tr>
        <w:trPr>
          <w:trHeight w:val="199"/>
        </w:trPr>
        <w:tc>
          <w:tcPr>
            <w:tcW w:w="8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December 28, 2024</w:t>
            </w:r>
          </w:p>
        </w:tc>
        <w:tc>
          <w:tcPr>
            <w:tcW w:w="0" w:type="dxa"/>
            <w:vAlign w:val="bottom"/>
          </w:tcPr>
          <w:p>
            <w:pPr>
              <w:spacing w:after="0"/>
              <w:rPr>
                <w:sz w:val="1"/>
                <w:szCs w:val="1"/>
                <w:color w:val="auto"/>
              </w:rPr>
            </w:pPr>
          </w:p>
        </w:tc>
      </w:tr>
      <w:tr>
        <w:trPr>
          <w:trHeight w:val="182"/>
        </w:trPr>
        <w:tc>
          <w:tcPr>
            <w:tcW w:w="81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vMerge w:val="continue"/>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4"/>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00" w:type="dxa"/>
            <w:vAlign w:val="bottom"/>
          </w:tcPr>
          <w:p>
            <w:pPr>
              <w:spacing w:after="0"/>
              <w:rPr>
                <w:sz w:val="17"/>
                <w:szCs w:val="17"/>
                <w:color w:val="auto"/>
              </w:rPr>
            </w:pP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dilutive</w:t>
            </w: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395"/>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excluded from the current period calculation, as the effect of their conversion into shares of our common stock would be antidilutive were 3.6 million.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Summary</w:t>
      </w:r>
    </w:p>
    <w:p>
      <w:pPr>
        <w:spacing w:after="0" w:line="21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w:t>
      </w:r>
      <w:r>
        <w:rPr>
          <w:rFonts w:ascii="Times New Roman" w:cs="Times New Roman" w:eastAsia="Times New Roman" w:hAnsi="Times New Roman"/>
          <w:sz w:val="16"/>
          <w:szCs w:val="16"/>
          <w:color w:val="auto"/>
        </w:rPr>
        <w:t>The Company’s operations are organized into two operating and reportable segments: Americas and Rest of World. The structure is designed to align us with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customers, provide improved service, enable future growth initiatives and efficiency of decision making to facilitate synergy realization. The Americas segment consists of sites in North America and South America that manufacture a wide range of products and components of personal care and consumer solution products and components of products including medical garments, wipes, dryer sheets, filtration, baby diapers and adult incontinence. The Rest of World segment consists of sites throughout Europe and China that manufacture a broad collection of personal care and consumer solution products and components of products including tea bags, coffee filters, wipes, cable wrap, filtration, baby diapers and adult incontinence.</w:t>
      </w:r>
    </w:p>
    <w:p>
      <w:pPr>
        <w:spacing w:after="0" w:line="166"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Raw Material Trends. </w:t>
      </w:r>
      <w:r>
        <w:rPr>
          <w:rFonts w:ascii="Times New Roman" w:cs="Times New Roman" w:eastAsia="Times New Roman" w:hAnsi="Times New Roman"/>
          <w:sz w:val="16"/>
          <w:szCs w:val="16"/>
          <w:color w:val="auto"/>
        </w:rPr>
        <w:t>Our primary raw materials are polymer resin, wood-based fibers, and pulps. In addition, we use other materials in various manufacturing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processes. While temporary industry-wide shortages of raw materials have occurred, we have historically been able to manage the supply chain disruption by working closely with our suppliers and customers. Changes in the price of raw materials are generally passed on to customers through contractual price mechanisms over time, during contract renewals, and by other means.</w:t>
      </w:r>
    </w:p>
    <w:p>
      <w:pPr>
        <w:spacing w:after="0" w:line="16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Outlook. </w:t>
      </w:r>
      <w:r>
        <w:rPr>
          <w:rFonts w:ascii="Times New Roman" w:cs="Times New Roman" w:eastAsia="Times New Roman" w:hAnsi="Times New Roman"/>
          <w:sz w:val="16"/>
          <w:szCs w:val="16"/>
          <w:color w:val="auto"/>
        </w:rPr>
        <w:t>The Company is affected by general economic and industrial growth, raw material availability, cost inflation, supply chain disruptions, new and changing tariffs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general industrial production. Our business has both geographic and end market diversity, which reduces the effect of any one of these factors on our overall performance. Our results are affected by our ability to pass through raw material and other cost changes, including tariffs, to our customers, improve manufacturing productivity and adapt to volume changes of our customers. Despite global macro-economic challenges and uncertainties attributed to inflation, changing tariff policies and general market softness, we continue to believe our underlying long-term demand fundamental in all segments will remain strong as we focus on providing advantaged products in targeted markets. For fiscal year 2026 ("fiscal 2026"), we project cash from operations between $170 to $190 million and free cash flow between $90 to $110 million. Projected fiscal 2026 free cash flow assumes $80 million of capital spending.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Strategy</w:t>
      </w:r>
    </w:p>
    <w:p>
      <w:pPr>
        <w:spacing w:after="0" w:line="22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As part of our growth strategy, we intend to pursue additional acquisition targets. Our acquisition strategy is focused on identifying attractive assets that will support improving our long-term financial performance, enhancing our market positions, and expanding our existing and complementary product lines. We seek to obtain businesses for attractive post-synergy multiples, creating value for our stockholders from synergy realization, leveraging the acquired products across our customer base, creating new platforms for future growth, and assuming best practices from the businesses we acquire. While the expected benefits to earnings will be estimated at the commencement of each transaction, once the execution of the plan and integration occur, we may be unable to accurately estimate or track what the ultimate effects will be due to system integrations and movements of activities to multiple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Non-GAAP Measures</w:t>
      </w:r>
    </w:p>
    <w:p>
      <w:pPr>
        <w:spacing w:after="0" w:line="22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We use certain non-GAAP financial measures in our disclosures. Adjusted EBITDA is the primary measure of profit (loss) used by the CODM, our Chief Executive Officer, to evaluate performance and allocate resources among our reportable segments. Adjusted EBITDA is a non-GAAP financial measure and may be calculated differently by other companies, including those in our industry or peer group, which may limit its usefulness for comparative purposes. Adjusted EBITDA should not be considered an alternative to any financial measure determined in accordance with GAAP. See Note 8 to the Consolidated and Combined Financial Statements for the definition of, and additional information regarding, Adjusted EBITDA.</w:t>
      </w:r>
    </w:p>
    <w:p>
      <w:pPr>
        <w:spacing w:after="0" w:line="17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We also use free cash flow metrics as a supplemental measure of liquidity, as they assist us in assessing our ability to fund growth through cash generation. Free cash flow metrics are non-GAAP financial measures and may be calculated differently by other companies, including those in our industry or peer group, which may limit their usefulness for comparative purposes. Free cash flow metrics should not be considered an alternative to any financial measure determined in accordance with GAAP.</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the Quarterly Period Ended December 27, 2025 (the “Quarter”) and the Quarterly Period Ended December 28, 2024 (the “Prior Quarter”)</w:t>
      </w:r>
    </w:p>
    <w:p>
      <w:pPr>
        <w:spacing w:after="0" w:line="221" w:lineRule="exact"/>
        <w:rPr>
          <w:sz w:val="20"/>
          <w:szCs w:val="20"/>
          <w:color w:val="auto"/>
        </w:rPr>
      </w:pPr>
    </w:p>
    <w:p>
      <w:pPr>
        <w:ind w:right="400"/>
        <w:spacing w:after="0" w:line="301" w:lineRule="auto"/>
        <w:rPr>
          <w:sz w:val="20"/>
          <w:szCs w:val="20"/>
          <w:color w:val="auto"/>
        </w:rPr>
      </w:pPr>
      <w:r>
        <w:rPr>
          <w:rFonts w:ascii="Times New Roman" w:cs="Times New Roman" w:eastAsia="Times New Roman" w:hAnsi="Times New Roman"/>
          <w:sz w:val="16"/>
          <w:szCs w:val="16"/>
          <w:i w:val="1"/>
          <w:iCs w:val="1"/>
          <w:color w:val="auto"/>
        </w:rPr>
        <w:t>Business integration expenses consist of restructuring and impairment charges, acquisition/merger related costs, and other business optimization costs. Tables present dollars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Consolidated Overview</w:t>
            </w:r>
          </w:p>
        </w:tc>
        <w:tc>
          <w:tcPr>
            <w:tcW w:w="240" w:type="dxa"/>
            <w:vAlign w:val="bottom"/>
          </w:tcPr>
          <w:p>
            <w:pPr>
              <w:spacing w:after="0"/>
              <w:rPr>
                <w:sz w:val="18"/>
                <w:szCs w:val="18"/>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6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Prior Quarter</w:t>
            </w:r>
          </w:p>
        </w:tc>
        <w:tc>
          <w:tcPr>
            <w:tcW w:w="220" w:type="dxa"/>
            <w:vAlign w:val="bottom"/>
          </w:tcPr>
          <w:p>
            <w:pPr>
              <w:spacing w:after="0"/>
              <w:rPr>
                <w:sz w:val="18"/>
                <w:szCs w:val="18"/>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 Change</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792</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Net sales: </w:t>
      </w:r>
      <w:r>
        <w:rPr>
          <w:rFonts w:ascii="Times New Roman" w:cs="Times New Roman" w:eastAsia="Times New Roman" w:hAnsi="Times New Roman"/>
          <w:sz w:val="16"/>
          <w:szCs w:val="16"/>
          <w:color w:val="auto"/>
        </w:rPr>
        <w:t>The net sales increase included revenue from the prior year merger of $112 million and favorable foreign currency changes of $36 million that were partially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offset by a $52 million decrease in selling prices primarily due to the pass-through of lower raw material costs and a 1% organic volume decline which was attributed to strength in our consumer solutions product categories being more than offset by competitive pressures in South America and general market softness in Europe.</w:t>
      </w:r>
    </w:p>
    <w:p>
      <w:pPr>
        <w:spacing w:after="0" w:line="161"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Operating income (loss): </w:t>
      </w:r>
      <w:r>
        <w:rPr>
          <w:rFonts w:ascii="Times New Roman" w:cs="Times New Roman" w:eastAsia="Times New Roman" w:hAnsi="Times New Roman"/>
          <w:sz w:val="16"/>
          <w:szCs w:val="16"/>
          <w:color w:val="auto"/>
        </w:rPr>
        <w:t>The operating income increase included a $10 million favorable impact from decreased business integration costs, a $12 million non-recurring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inventory fair value step-up charge in the prior quarter, lower depreciation and amortization expenses of $8 million and operating income from the prior year merger.</w:t>
      </w:r>
    </w:p>
    <w:p>
      <w:pPr>
        <w:spacing w:after="0" w:line="144"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expense, net: </w:t>
      </w:r>
      <w:r>
        <w:rPr>
          <w:rFonts w:ascii="Times New Roman" w:cs="Times New Roman" w:eastAsia="Times New Roman" w:hAnsi="Times New Roman"/>
          <w:sz w:val="16"/>
          <w:szCs w:val="16"/>
          <w:color w:val="auto"/>
        </w:rPr>
        <w:t>The decrease in other expense is primarily due to a $15 million prepayment penalty charge for retiring debt in the prior year in connection with the prior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merger.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The interest expense, net increase is primarily attributed to incurred debt connected with the prior year merger that closed on November 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Comprehensive Income</w:t>
      </w:r>
    </w:p>
    <w:p>
      <w:pPr>
        <w:spacing w:after="0" w:line="22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The $100 million increase in comprehensive income from the Prior Quarter is attributed to a $74 million favorable change in currency translation and a $26 million increase in net income.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Quarter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current quarter is primarily attributed to the change in the forward foreign exchange curves between measurement dates.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Overview</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Americas</w:t>
            </w:r>
          </w:p>
        </w:tc>
        <w:tc>
          <w:tcPr>
            <w:tcW w:w="240" w:type="dxa"/>
            <w:vAlign w:val="bottom"/>
          </w:tcPr>
          <w:p>
            <w:pPr>
              <w:spacing w:after="0"/>
              <w:rPr>
                <w:sz w:val="24"/>
                <w:szCs w:val="24"/>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6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Prior Quarter</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 Change</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440</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Net sales: </w:t>
      </w:r>
      <w:r>
        <w:rPr>
          <w:rFonts w:ascii="Times New Roman" w:cs="Times New Roman" w:eastAsia="Times New Roman" w:hAnsi="Times New Roman"/>
          <w:sz w:val="16"/>
          <w:szCs w:val="16"/>
          <w:color w:val="auto"/>
        </w:rPr>
        <w:t>The net sales increase included a 2% organic volume growth, revenue from the prior year merger of $42 million and favorable foreign currency changes of $8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that were partially offset by a $38 million decrease in selling prices primarily due to the pass-through of lower raw material costs and competitive pressures from imports in South America.</w:t>
      </w:r>
    </w:p>
    <w:p>
      <w:pPr>
        <w:spacing w:after="0" w:line="161"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Adjusted EBITDA: </w:t>
      </w:r>
      <w:r>
        <w:rPr>
          <w:rFonts w:ascii="Times New Roman" w:cs="Times New Roman" w:eastAsia="Times New Roman" w:hAnsi="Times New Roman"/>
          <w:sz w:val="16"/>
          <w:szCs w:val="16"/>
          <w:color w:val="auto"/>
        </w:rPr>
        <w:t>The adjusted EBITDA increase included a contribution from the prior year merger of $5 million and improved organic growth in North America partially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offset by unfavorable impacts from price cost spread of $4 million.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4"/>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Rest of World</w:t>
            </w:r>
          </w:p>
        </w:tc>
        <w:tc>
          <w:tcPr>
            <w:tcW w:w="240" w:type="dxa"/>
            <w:vAlign w:val="bottom"/>
          </w:tcPr>
          <w:p>
            <w:pPr>
              <w:spacing w:after="0"/>
              <w:rPr>
                <w:sz w:val="18"/>
                <w:szCs w:val="18"/>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6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Prior Quarter</w:t>
            </w:r>
          </w:p>
        </w:tc>
        <w:tc>
          <w:tcPr>
            <w:tcW w:w="220" w:type="dxa"/>
            <w:vAlign w:val="bottom"/>
          </w:tcPr>
          <w:p>
            <w:pPr>
              <w:spacing w:after="0"/>
              <w:rPr>
                <w:sz w:val="18"/>
                <w:szCs w:val="18"/>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 Change</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352</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Net sales: </w:t>
      </w:r>
      <w:r>
        <w:rPr>
          <w:rFonts w:ascii="Times New Roman" w:cs="Times New Roman" w:eastAsia="Times New Roman" w:hAnsi="Times New Roman"/>
          <w:sz w:val="16"/>
          <w:szCs w:val="16"/>
          <w:color w:val="auto"/>
        </w:rPr>
        <w:t>The net sales increase included revenue from the prior year merger of $70 million and a $28 million favorable impact from foreign currency changes partially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offset by a 5% organic volume decline which was primarily attributed to general market softness in Europe and a $14 million decrease in selling prices primarily due to the pass-through of lower raw material costs.</w:t>
      </w:r>
    </w:p>
    <w:p>
      <w:pPr>
        <w:spacing w:after="0" w:line="161" w:lineRule="exact"/>
        <w:rPr>
          <w:sz w:val="20"/>
          <w:szCs w:val="20"/>
          <w:color w:val="auto"/>
        </w:rPr>
      </w:pPr>
    </w:p>
    <w:p>
      <w:pPr>
        <w:ind w:right="40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Adjusted EBITDA: </w:t>
      </w:r>
      <w:r>
        <w:rPr>
          <w:rFonts w:ascii="Times New Roman" w:cs="Times New Roman" w:eastAsia="Times New Roman" w:hAnsi="Times New Roman"/>
          <w:sz w:val="16"/>
          <w:szCs w:val="16"/>
          <w:color w:val="auto"/>
        </w:rPr>
        <w:t>The adjusted EBITDA increase included a contribution from the prior year merger of $3 million and favorable impacts from price cost spread of $4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as the result of synergy realization and mix improvement.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Secured Credit Facility</w:t>
      </w:r>
    </w:p>
    <w:p>
      <w:pPr>
        <w:spacing w:after="0" w:line="22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We manage our global cash requirements considering (i) available funds among the many subsidiaries through which we conduct business, (ii) the geographic location of our liquidity needs, and (iii) the cost to access international cash balances. At the end of the Quarter, the Company had no outstanding balance on its asset-based revolving line of credit that matures in November 2029. The Company was in compliance with all covenants at the end of the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from operating activities increased $60 million from the Prior Quarter primarily related to higher net loss and working capital uses in Prior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from investing activities decrease of $36 million from the Prior Quarter primarily attributed to cash acquired in connection with the merger in Prior Quarter.</w:t>
      </w:r>
    </w:p>
    <w:p>
      <w:pPr>
        <w:spacing w:after="0" w:line="22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Net cash from financing activities decreased $60 million from Prior Quarter primarily attributed to $27 million prepayment of debt in the Quarter paired with proceeds from borrowings netted with transfers to parent in the Prior Quarter.</w:t>
      </w:r>
    </w:p>
    <w:p>
      <w:pPr>
        <w:sectPr>
          <w:pgSz w:w="11900" w:h="16838" w:orient="portrait"/>
          <w:cols w:equalWidth="0" w:num="1">
            <w:col w:w="11240"/>
          </w:cols>
          <w:pgMar w:left="320" w:top="257" w:right="339" w:bottom="1440" w:gutter="0" w:footer="0" w:header="0"/>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Free Cash Flow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consolidated free cash flow for the Quarter are summarized as follows:</w:t>
      </w: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Cash flow from operating activities</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Additions to property, plant and equipment</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Free cash flow</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 Outlook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6"/>
          <w:szCs w:val="16"/>
          <w:b w:val="1"/>
          <w:bCs w:val="1"/>
          <w:u w:val="single" w:color="auto"/>
          <w:color w:val="auto"/>
        </w:rPr>
        <w:t>December 27, 2025</w:t>
      </w:r>
    </w:p>
    <w:p>
      <w:pPr>
        <w:spacing w:after="0" w:line="32" w:lineRule="exact"/>
        <w:rPr>
          <w:sz w:val="20"/>
          <w:szCs w:val="20"/>
          <w:color w:val="auto"/>
        </w:rPr>
      </w:pPr>
    </w:p>
    <w:p>
      <w:pPr>
        <w:ind w:left="1312" w:hanging="1312"/>
        <w:spacing w:after="0"/>
        <w:tabs>
          <w:tab w:leader="none" w:pos="1312"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w:t>
      </w:r>
    </w:p>
    <w:p>
      <w:pPr>
        <w:spacing w:after="0" w:line="28" w:lineRule="exact"/>
        <w:rPr>
          <w:rFonts w:ascii="Times New Roman" w:cs="Times New Roman" w:eastAsia="Times New Roman" w:hAnsi="Times New Roman"/>
          <w:sz w:val="16"/>
          <w:szCs w:val="16"/>
          <w:b w:val="1"/>
          <w:bCs w:val="1"/>
          <w:color w:val="auto"/>
        </w:rPr>
      </w:pPr>
    </w:p>
    <w:p>
      <w:pPr>
        <w:ind w:left="117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(15</w:t>
      </w: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left="1172" w:hanging="1172"/>
        <w:spacing w:after="0"/>
        <w:tabs>
          <w:tab w:leader="none" w:pos="1172"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(13</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942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942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-114935</wp:posOffset>
            </wp:positionV>
            <wp:extent cx="942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7908" w:space="720"/>
            <w:col w:w="2612"/>
          </w:cols>
          <w:pgMar w:left="320" w:top="257" w:right="339" w:bottom="1440" w:gutter="0" w:footer="0" w:header="0"/>
          <w:type w:val="continuous"/>
        </w:sectPr>
      </w:pPr>
    </w:p>
    <w:p>
      <w:pPr>
        <w:spacing w:after="0" w:line="2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At December 27, 2025, our cash balance was $264 million, which was primarily located outside the U.S. We believe our existing U.S. based cash and cash flow from U.S. operations, together with available borrowings under our senior secured credit facilities, will be adequate to meet our short-term and long-term liquidity needs with the exception of funds needed to cover all long-term debt obligations, which we intend to refinance prior to maturity. The Company has the ability to repatriate the cash located outside the U.S. to the extent not needed to meet operational and capital needs without significant restrictions.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6"/>
          <w:szCs w:val="16"/>
          <w:b w:val="1"/>
          <w:bCs w:val="1"/>
          <w:color w:val="auto"/>
        </w:rPr>
        <w:t>tem 3. Quantitative and Qualitative Disclosures about Market Risk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23"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6"/>
          <w:szCs w:val="16"/>
          <w:color w:val="auto"/>
        </w:rPr>
        <w:t>We are exposed to market risk from changes in interest rates primarily through our senior secured credit facilities and accounts receivable supply chain financing programs. Our senior secured credit facilities are comprised of (i) $706 million term loan and (ii) the $350 million revolving credit facility with no borrowings outstanding. Borrowings under our senior secured credit facilities bear interest at a rate equal to an applicable margin plus SOFR. The applicable margin for SOFR rate borrowings under the revolving credit facility ranges from 1.50% to 2.00%, and the margin for the term loan is 4.25% per annum. As of period end, the SOFR rate of approximately 3.82% was applicable to the term loan. A change of 0.25% on these floating interest rate exposures would increase our annual interest expense by approximately $2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Risk</w:t>
      </w:r>
    </w:p>
    <w:p>
      <w:pPr>
        <w:spacing w:after="0" w:line="22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As a global company, we face foreign currency risk exposure from fluctuating currency exchange rates, primarily the U.S. dollar against the Euro, British pound sterling, Argentine peso, and Brazilian real. Significant fluctuations in currency rates can have a substantial impact, either positive or negative, on our revenue, cost of sales, and operating expenses. Currency translation gains and losses are primarily related to non-U.S. subsidiaries with a functional currency other than U.S. dollars whereby assets and liabilities are translated from the respective functional currency into U.S. dollars using period-end exchange rates and impact our Comprehensive income. A 10% decline in foreign currency exchange rates would have had an $8 million favorable impact on our Net income for the quarterly period ended December 27, 2025. See Note 6. Financial Instruments and Fair Value Measurements.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Evaluation of Disclosure Controls and Procedures.</w:t>
      </w:r>
    </w:p>
    <w:p>
      <w:pPr>
        <w:spacing w:after="0" w:line="22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21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As reported in our 2025 Annual Report on Form 10-K, Magnera's management concluded that its internal control over financial reporting and its disclosure controls and procedures were not effective as of September 27, 2025. This conclusion was specifically impacted by deficiencies in the design and operating effectiveness as well as the level of observable control documentation of our internal controls related to the merger that closed on November 4, 2024, as well as information technology general controls related to legacy U.S. IT systems that are under a transition services agreement. As there were no material errors in the accounting or adjustments to the Consolidated and Combined Financial Statements as a result of these identified deficiencies, management concluded that there was no impact on Magnera's prior or current period Consolidated and Combined Financial Statements and that Magnera's financial statements were presented fairly in all material respects. Since September 27, 2025, Magnera's management has taken remedial actions, and in that regard, has allocated resources internally that we believe will allow us to accelerate remediation.</w:t>
      </w:r>
    </w:p>
    <w:p>
      <w:pPr>
        <w:spacing w:after="0" w:line="21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Company's management, with the participation of the Chief Executive Officer and the Chief Financial Officer, carried out an evaluation of the effectiveness of the design and operation of the disclosure controls and procedures as of December 27, 2025. Because many of the controls related to IT systems are connected with conversions that will occur throughout the fiscal year, management has concluded that our disclosure controls and procedures were not effective as of the last day of the period covered by this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Changes in internal control over financial reporting.</w:t>
      </w:r>
    </w:p>
    <w:p>
      <w:pPr>
        <w:spacing w:after="0" w:line="22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Except as set forth above, there were no material changes in our internal control over financial reporting that occurred during the quarter ended December 27, 2025 that have materially affected, or are reasonably likely to materially affect, our internal control over financial reporting.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23"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See the discussion of legal proceedings contained in Note 9. Contingencies and Commitments to our unaudited Consolidated and Combined Financial Statements in Part I, Item 1 of this report, which is incorporated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23"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Before investing in our securities, we recommend that investors carefully consider the risks described in our annual reports on Form 10-K and any subsequent periodic reports filed with the SEC. Realization of any of these risks could have a material adverse effect on our business, financial condition, cash flows and results of operations.</w:t>
      </w:r>
    </w:p>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caution readers that the list of risk factors discussed in our SEC filings may not contain all of the material factors that are important to you. In addition, in light of these risks and uncertainties, the matters referred to in the forward-looking statements contained in this report may not in fact occur. Accordingly, readers should not place undue reliance on those statements.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59"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or furnished herewith or incorporated by reference as indicated.</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Incorporated by reference to</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89"/>
              </w:rPr>
              <w:t>31.</w:t>
            </w:r>
            <w:r>
              <w:rPr>
                <w:rFonts w:ascii="Times New Roman" w:cs="Times New Roman" w:eastAsia="Times New Roman" w:hAnsi="Times New Roman"/>
                <w:sz w:val="14"/>
                <w:szCs w:val="14"/>
                <w:u w:val="single" w:color="auto"/>
                <w:color w:val="0000EE"/>
                <w:w w:val="89"/>
              </w:rPr>
              <w:t>1</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Rule 13a-14(a)/15d-14(a) Certification of the Chief Executive Officer.</w:t>
            </w:r>
          </w:p>
        </w:tc>
        <w:tc>
          <w:tcPr>
            <w:tcW w:w="0" w:type="dxa"/>
            <w:vAlign w:val="bottom"/>
          </w:tcPr>
          <w:p>
            <w:pPr>
              <w:spacing w:after="0"/>
              <w:rPr>
                <w:sz w:val="1"/>
                <w:szCs w:val="1"/>
                <w:color w:val="auto"/>
              </w:rPr>
            </w:pPr>
          </w:p>
        </w:tc>
      </w:tr>
      <w:tr>
        <w:trPr>
          <w:trHeight w:val="236"/>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00"/>
              </w:rPr>
              <w:t>*</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Rule 13a-14(a)/15d-14(a) Certification of the Chief Financial Officer.</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00"/>
              </w:rPr>
              <w:t>**</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1350 Certification of the Chief Executive Officer.</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00"/>
              </w:rPr>
              <w:t>**</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1350 Certification of the Chief Financial Officer.</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7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w:t>
            </w:r>
          </w:p>
        </w:tc>
        <w:tc>
          <w:tcPr>
            <w:tcW w:w="0" w:type="dxa"/>
            <w:vAlign w:val="bottom"/>
          </w:tcPr>
          <w:p>
            <w:pPr>
              <w:spacing w:after="0" w:line="20" w:lineRule="exact"/>
              <w:rPr>
                <w:sz w:val="1"/>
                <w:szCs w:val="1"/>
                <w:color w:val="auto"/>
              </w:rPr>
            </w:pPr>
          </w:p>
        </w:tc>
      </w:tr>
      <w:tr>
        <w:trPr>
          <w:trHeight w:val="200"/>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101.INS</w:t>
            </w:r>
          </w:p>
        </w:tc>
        <w:tc>
          <w:tcPr>
            <w:tcW w:w="6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40" w:type="dxa"/>
            <w:vAlign w:val="bottom"/>
            <w:gridSpan w:val="2"/>
            <w:vMerge w:val="continue"/>
          </w:tcPr>
          <w:p>
            <w:pPr>
              <w:spacing w:after="0"/>
              <w:rPr>
                <w:sz w:val="16"/>
                <w:szCs w:val="16"/>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iXBRL tags are embedded within the Inline XBRL document.</w:t>
            </w:r>
          </w:p>
        </w:tc>
        <w:tc>
          <w:tcPr>
            <w:tcW w:w="0" w:type="dxa"/>
            <w:vAlign w:val="bottom"/>
          </w:tcPr>
          <w:p>
            <w:pPr>
              <w:spacing w:after="0"/>
              <w:rPr>
                <w:sz w:val="1"/>
                <w:szCs w:val="1"/>
                <w:color w:val="auto"/>
              </w:rPr>
            </w:pPr>
          </w:p>
        </w:tc>
      </w:tr>
      <w:tr>
        <w:trPr>
          <w:trHeight w:val="229"/>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Schema.</w:t>
            </w:r>
          </w:p>
        </w:tc>
        <w:tc>
          <w:tcPr>
            <w:tcW w:w="0" w:type="dxa"/>
            <w:vAlign w:val="bottom"/>
          </w:tcPr>
          <w:p>
            <w:pPr>
              <w:spacing w:after="0"/>
              <w:rPr>
                <w:sz w:val="1"/>
                <w:szCs w:val="1"/>
                <w:color w:val="auto"/>
              </w:rPr>
            </w:pPr>
          </w:p>
        </w:tc>
      </w:tr>
      <w:tr>
        <w:trPr>
          <w:trHeight w:val="229"/>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Extension Calculation Linkbase.</w:t>
            </w: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Extension Definition Linkbase.</w:t>
            </w:r>
          </w:p>
        </w:tc>
        <w:tc>
          <w:tcPr>
            <w:tcW w:w="0" w:type="dxa"/>
            <w:vAlign w:val="bottom"/>
          </w:tcPr>
          <w:p>
            <w:pPr>
              <w:spacing w:after="0"/>
              <w:rPr>
                <w:sz w:val="1"/>
                <w:szCs w:val="1"/>
                <w:color w:val="auto"/>
              </w:rPr>
            </w:pPr>
          </w:p>
        </w:tc>
      </w:tr>
      <w:tr>
        <w:trPr>
          <w:trHeight w:val="229"/>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Extension Label Linkbase.</w:t>
            </w:r>
          </w:p>
        </w:tc>
        <w:tc>
          <w:tcPr>
            <w:tcW w:w="0" w:type="dxa"/>
            <w:vAlign w:val="bottom"/>
          </w:tcPr>
          <w:p>
            <w:pPr>
              <w:spacing w:after="0"/>
              <w:rPr>
                <w:sz w:val="1"/>
                <w:szCs w:val="1"/>
                <w:color w:val="auto"/>
              </w:rPr>
            </w:pPr>
          </w:p>
        </w:tc>
      </w:tr>
      <w:tr>
        <w:trPr>
          <w:trHeight w:val="229"/>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Extension Presentation Linkbase.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020" w:hanging="964"/>
        <w:spacing w:after="0"/>
        <w:tabs>
          <w:tab w:leader="none" w:pos="10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an inline XBRL and contained in Exhibit 101).</w:t>
      </w:r>
    </w:p>
    <w:p>
      <w:pPr>
        <w:spacing w:after="0" w:line="25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Filed herewith</w:t>
      </w:r>
    </w:p>
    <w:p>
      <w:pPr>
        <w:spacing w:after="0" w:line="3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4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259" w:right="1279" w:bottom="1440" w:gutter="0" w:footer="0" w:header="0"/>
        </w:sectPr>
      </w:pPr>
    </w:p>
    <w:bookmarkStart w:id="19" w:name="page20"/>
    <w:bookmarkEnd w:id="19"/>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2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Magnera Corporation</w:t>
      </w: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5220" w:val="left"/>
          <w:tab w:leader="none" w:pos="5880" w:val="left"/>
        </w:tabs>
        <w:rPr>
          <w:sz w:val="20"/>
          <w:szCs w:val="20"/>
          <w:color w:val="auto"/>
        </w:rPr>
      </w:pPr>
      <w:r>
        <w:rPr>
          <w:rFonts w:ascii="Times New Roman" w:cs="Times New Roman" w:eastAsia="Times New Roman" w:hAnsi="Times New Roman"/>
          <w:sz w:val="16"/>
          <w:szCs w:val="16"/>
          <w:color w:val="auto"/>
        </w:rPr>
        <w:t>February 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James M. 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37465</wp:posOffset>
            </wp:positionV>
            <wp:extent cx="34201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James M. Till</w:t>
      </w:r>
    </w:p>
    <w:p>
      <w:pPr>
        <w:spacing w:after="0" w:line="1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59" w:right="419" w:bottom="1440" w:gutter="0" w:footer="0" w:header="0"/>
        </w:sectPr>
      </w:pPr>
    </w:p>
    <w:bookmarkStart w:id="20" w:name="page21"/>
    <w:bookmarkEnd w:id="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L. Begle, Chief Executive Officer of Magnera Corporation, certify that:</w:t>
      </w:r>
    </w:p>
    <w:p>
      <w:pPr>
        <w:spacing w:after="0" w:line="131"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Magnera Corporation (the "Registrant");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49" w:lineRule="exact"/>
        <w:rPr>
          <w:rFonts w:ascii="Times New Roman" w:cs="Times New Roman" w:eastAsia="Times New Roman" w:hAnsi="Times New Roman"/>
          <w:sz w:val="18"/>
          <w:szCs w:val="18"/>
          <w:color w:val="auto"/>
        </w:rPr>
      </w:pPr>
    </w:p>
    <w:p>
      <w:pPr>
        <w:ind w:left="340" w:right="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31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w:t>
      </w:r>
    </w:p>
    <w:p>
      <w:pPr>
        <w:spacing w:after="0" w:line="49" w:lineRule="exact"/>
        <w:rPr>
          <w:rFonts w:ascii="Times New Roman" w:cs="Times New Roman" w:eastAsia="Times New Roman" w:hAnsi="Times New Roman"/>
          <w:sz w:val="18"/>
          <w:szCs w:val="18"/>
          <w:color w:val="auto"/>
        </w:rPr>
      </w:pPr>
    </w:p>
    <w:p>
      <w:pPr>
        <w:ind w:left="660" w:right="4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9" w:lineRule="exact"/>
        <w:rPr>
          <w:rFonts w:ascii="Times New Roman" w:cs="Times New Roman" w:eastAsia="Times New Roman" w:hAnsi="Times New Roman"/>
          <w:sz w:val="18"/>
          <w:szCs w:val="18"/>
          <w:color w:val="auto"/>
        </w:rPr>
      </w:pPr>
    </w:p>
    <w:p>
      <w:pPr>
        <w:ind w:left="66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62" w:lineRule="auto"/>
        <w:tabs>
          <w:tab w:leader="none" w:pos="626"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7"/>
          <w:szCs w:val="17"/>
          <w:color w:val="auto"/>
        </w:rPr>
      </w:pPr>
    </w:p>
    <w:p>
      <w:pPr>
        <w:ind w:left="660" w:right="40" w:hanging="328"/>
        <w:spacing w:after="0" w:line="313" w:lineRule="auto"/>
        <w:tabs>
          <w:tab w:leader="none" w:pos="6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280" w:hanging="332"/>
        <w:spacing w:after="0" w:line="329"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320" w:hanging="328"/>
        <w:spacing w:after="0" w:line="313" w:lineRule="auto"/>
        <w:tabs>
          <w:tab w:leader="none" w:pos="6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220" w:hanging="328"/>
        <w:spacing w:after="0" w:line="329" w:lineRule="auto"/>
        <w:tabs>
          <w:tab w:leader="none" w:pos="6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77"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Curtis L. Begle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43180</wp:posOffset>
            </wp:positionV>
            <wp:extent cx="27432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Curtis L. Begle</w:t>
      </w:r>
    </w:p>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31"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ind w:right="3620" w:firstLine="3624"/>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CHIEF FINANCIAL OFFICER CERTIFICATION </w:t>
      </w:r>
      <w:r>
        <w:rPr>
          <w:rFonts w:ascii="Times New Roman" w:cs="Times New Roman" w:eastAsia="Times New Roman" w:hAnsi="Times New Roman"/>
          <w:sz w:val="18"/>
          <w:szCs w:val="18"/>
          <w:color w:val="auto"/>
        </w:rPr>
        <w:t>I, James M. Till, Chief Financial Officer of Magnera Corporation, certify that:</w:t>
      </w: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Magnera Corporation (the "Registrant");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49" w:lineRule="exact"/>
        <w:rPr>
          <w:rFonts w:ascii="Times New Roman" w:cs="Times New Roman" w:eastAsia="Times New Roman" w:hAnsi="Times New Roman"/>
          <w:sz w:val="18"/>
          <w:szCs w:val="18"/>
          <w:color w:val="auto"/>
        </w:rPr>
      </w:pPr>
    </w:p>
    <w:p>
      <w:pPr>
        <w:ind w:left="340" w:right="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313"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right="400" w:hanging="328"/>
        <w:spacing w:after="0" w:line="313" w:lineRule="auto"/>
        <w:tabs>
          <w:tab w:leader="none" w:pos="6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9" w:lineRule="exact"/>
        <w:rPr>
          <w:rFonts w:ascii="Times New Roman" w:cs="Times New Roman" w:eastAsia="Times New Roman" w:hAnsi="Times New Roman"/>
          <w:sz w:val="18"/>
          <w:szCs w:val="18"/>
          <w:color w:val="auto"/>
        </w:rPr>
      </w:pPr>
    </w:p>
    <w:p>
      <w:pPr>
        <w:ind w:left="66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62" w:lineRule="auto"/>
        <w:tabs>
          <w:tab w:leader="none" w:pos="62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7"/>
          <w:szCs w:val="17"/>
          <w:color w:val="auto"/>
        </w:rPr>
      </w:pPr>
    </w:p>
    <w:p>
      <w:pPr>
        <w:ind w:left="660" w:right="40" w:hanging="328"/>
        <w:spacing w:after="0" w:line="313" w:lineRule="auto"/>
        <w:tabs>
          <w:tab w:leader="none" w:pos="6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260" w:hanging="332"/>
        <w:spacing w:after="0" w:line="329"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320" w:hanging="328"/>
        <w:spacing w:after="0" w:line="313" w:lineRule="auto"/>
        <w:tabs>
          <w:tab w:leader="none" w:pos="6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220" w:hanging="328"/>
        <w:spacing w:after="0" w:line="329" w:lineRule="auto"/>
        <w:tabs>
          <w:tab w:leader="none" w:pos="6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77"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James M. 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43180</wp:posOffset>
            </wp:positionV>
            <wp:extent cx="2743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James M. Till</w:t>
      </w:r>
    </w:p>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97" w:lineRule="exact"/>
        <w:rPr>
          <w:sz w:val="20"/>
          <w:szCs w:val="20"/>
          <w:color w:val="auto"/>
        </w:rPr>
      </w:pPr>
    </w:p>
    <w:p>
      <w:pPr>
        <w:ind w:right="360"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of Magnera Corporation (the “Registrant”) on Form 10-Q for the quarterly period ended December 27, 2025, as filed with the Securities and Exchange Commission on the date hereof (the “Report”), I, Curtis L. Begle, Chief Executive Officer of the Registrant, certify, pursuant to 18 U.S.C. Section 1350, as adopted pursuant to Section 906 of the Sarbanes-Oxley Act of 2002, that, to my knowledge:</w:t>
      </w:r>
    </w:p>
    <w:p>
      <w:pPr>
        <w:spacing w:after="0" w:line="22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77"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Curtis L. Begle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43180</wp:posOffset>
            </wp:positionV>
            <wp:extent cx="2743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Curtis L. Begle</w:t>
      </w:r>
    </w:p>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3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97" w:lineRule="exact"/>
        <w:rPr>
          <w:sz w:val="20"/>
          <w:szCs w:val="20"/>
          <w:color w:val="auto"/>
        </w:rPr>
      </w:pPr>
    </w:p>
    <w:p>
      <w:pPr>
        <w:ind w:right="160"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of Magnera Corporation (the “Registrant”) on Form 10-Q for the quarterly period ended December 27, 2025, as filed with the Securities and Exchange Commission on the date hereof (the “Report”), I, James M. Till, Chief Financial Officer of the Registrant, certify, pursuant to 18 U.S.C. Section 1350, as adopted pursuant to Section 906 of the Sarbanes-Oxley Act of 2002, that, to my knowledge:</w:t>
      </w:r>
    </w:p>
    <w:p>
      <w:pPr>
        <w:spacing w:after="0" w:line="22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77"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James M. 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43180</wp:posOffset>
            </wp:positionV>
            <wp:extent cx="2743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James M. Till</w:t>
      </w:r>
    </w:p>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695"/>
    </w:lvl>
  </w:abstractNum>
  <w:abstractNum w:abstractNumId="3">
    <w:nsid w:val="1BEFD79F"/>
    <w:multiLevelType w:val="hybridMultilevel"/>
    <w:lvl w:ilvl="0">
      <w:lvlJc w:val="left"/>
      <w:lvlText w:val="%1"/>
      <w:numFmt w:val="decimal"/>
      <w:start w:val="50"/>
    </w:lvl>
  </w:abstractNum>
  <w:abstractNum w:abstractNumId="4">
    <w:nsid w:val="41A7C4C9"/>
    <w:multiLevelType w:val="hybridMultilevel"/>
    <w:lvl w:ilvl="0">
      <w:lvlJc w:val="left"/>
      <w:lvlText w:val="%1"/>
      <w:numFmt w:val="decimal"/>
      <w:start w:val="11"/>
    </w:lvl>
  </w:abstractNum>
  <w:abstractNum w:abstractNumId="5">
    <w:nsid w:val="6B68079A"/>
    <w:multiLevelType w:val="hybridMultilevel"/>
    <w:lvl w:ilvl="0">
      <w:lvlJc w:val="left"/>
      <w:lvlText w:val="%1"/>
      <w:numFmt w:val="decimal"/>
      <w:start w:val="22"/>
    </w:lvl>
  </w:abstractNum>
  <w:abstractNum w:abstractNumId="6">
    <w:nsid w:val="4E6AFB66"/>
    <w:multiLevelType w:val="hybridMultilevel"/>
    <w:lvl w:ilvl="0">
      <w:lvlJc w:val="left"/>
      <w:lvlText w:val="%1"/>
      <w:numFmt w:val="decimal"/>
      <w:start w:val="14"/>
    </w:lvl>
  </w:abstractNum>
  <w:abstractNum w:abstractNumId="7">
    <w:nsid w:val="25E45D32"/>
    <w:multiLevelType w:val="hybridMultilevel"/>
    <w:lvl w:ilvl="0">
      <w:lvlJc w:val="left"/>
      <w:lvlText w:val="3"/>
      <w:numFmt w:val="bullet"/>
      <w:start w:val="1"/>
    </w:lvl>
  </w:abstractNum>
  <w:abstractNum w:abstractNumId="8">
    <w:nsid w:val="519B500D"/>
    <w:multiLevelType w:val="hybridMultilevel"/>
    <w:lvl w:ilvl="0">
      <w:lvlJc w:val="left"/>
      <w:lvlText w:val="%1"/>
      <w:numFmt w:val="decimal"/>
      <w:start w:val="40"/>
    </w:lvl>
  </w:abstractNum>
  <w:abstractNum w:abstractNumId="9">
    <w:nsid w:val="431BD7B7"/>
    <w:multiLevelType w:val="hybridMultilevel"/>
    <w:lvl w:ilvl="0">
      <w:lvlJc w:val="left"/>
      <w:lvlText w:val="(%1)"/>
      <w:numFmt w:val="decimal"/>
      <w:start w:val="29"/>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decimal"/>
      <w:start w:val="6"/>
    </w:lvl>
  </w:abstractNum>
  <w:abstractNum w:abstractNumId="14">
    <w:nsid w:val="436C6125"/>
    <w:multiLevelType w:val="hybridMultilevel"/>
    <w:lvl w:ilvl="0">
      <w:lvlJc w:val="left"/>
      <w:lvlText w:val="%1."/>
      <w:numFmt w:val="decimal"/>
      <w:start w:val="7"/>
    </w:lvl>
  </w:abstractNum>
  <w:abstractNum w:abstractNumId="15">
    <w:nsid w:val="628C895D"/>
    <w:multiLevelType w:val="hybridMultilevel"/>
    <w:lvl w:ilvl="0">
      <w:lvlJc w:val="left"/>
      <w:lvlText w:val="%1."/>
      <w:numFmt w:val="decimal"/>
      <w:start w:val="8"/>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0"/>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2026-02-05T15:29:26Z</dcterms:created>
  <dcterms:modified xsi:type="dcterms:W3CDTF">2026-02-05T15:29:26Z</dcterms:modified>
</cp:coreProperties>
</file>