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UNITED STATES</w:t>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SECURITIES AND EXCHANGE COMMISSION</w:t>
      </w:r>
    </w:p>
    <w:p>
      <w:pPr>
        <w:pStyle w:val="TextBody"/>
        <w:bidi w:val="0"/>
        <w:spacing w:before="0" w:after="0"/>
        <w:jc w:val="center"/>
        <w:rPr>
          <w:rFonts w:ascii="Times New Roman" w:hAnsi="Times New Roman"/>
          <w:color w:val="000000"/>
          <w:sz w:val="24"/>
          <w:shd w:fill="FFFFFF" w:val="clear"/>
        </w:rPr>
      </w:pPr>
      <w:r>
        <w:rPr>
          <w:rFonts w:ascii="Times New Roman" w:hAnsi="Times New Roman"/>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36"/>
          <w:shd w:fill="FFFFFF" w:val="clear"/>
        </w:rPr>
      </w:pPr>
      <w:r>
        <w:rPr>
          <w:rFonts w:ascii="Times New Roman" w:hAnsi="Times New Roman"/>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CURRENT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tbl>
      <w:tblPr>
        <w:tblW w:w="5050" w:type="dxa"/>
        <w:jc w:val="left"/>
        <w:tblInd w:w="0" w:type="dxa"/>
        <w:tblLayout w:type="fixed"/>
        <w:tblCellMar>
          <w:top w:w="0" w:type="dxa"/>
          <w:left w:w="0" w:type="dxa"/>
          <w:bottom w:w="0" w:type="dxa"/>
          <w:right w:w="0" w:type="dxa"/>
        </w:tblCellMar>
      </w:tblPr>
      <w:tblGrid>
        <w:gridCol w:w="3995"/>
        <w:gridCol w:w="1055"/>
      </w:tblGrid>
      <w:tr>
        <w:trPr/>
        <w:tc>
          <w:tcPr>
            <w:tcW w:w="39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10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May 7, 2026</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48"/>
          <w:shd w:fill="FFFFFF" w:val="clear"/>
        </w:rPr>
      </w:pPr>
      <w:r>
        <w:rPr>
          <w:rFonts w:ascii="Times New Roman" w:hAnsi="Times New Roman"/>
          <w:color w:val="000000"/>
          <w:sz w:val="48"/>
          <w:shd w:fill="FFFFFF" w:val="clear"/>
        </w:rPr>
        <w:t>Magnera Corporation</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tbl>
      <w:tblPr>
        <w:tblW w:w="8805" w:type="dxa"/>
        <w:jc w:val="left"/>
        <w:tblInd w:w="0" w:type="dxa"/>
        <w:tblLayout w:type="fixed"/>
        <w:tblCellMar>
          <w:top w:w="0" w:type="dxa"/>
          <w:left w:w="0" w:type="dxa"/>
          <w:bottom w:w="28" w:type="dxa"/>
          <w:right w:w="0" w:type="dxa"/>
        </w:tblCellMar>
      </w:tblPr>
      <w:tblGrid>
        <w:gridCol w:w="3575"/>
        <w:gridCol w:w="60"/>
        <w:gridCol w:w="2210"/>
        <w:gridCol w:w="60"/>
        <w:gridCol w:w="2900"/>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Pennsylvania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001-03560</w:t>
            </w:r>
          </w:p>
        </w:tc>
        <w:tc>
          <w:tcPr>
            <w:tcW w:w="6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23-0628360</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28" w:type="dxa"/>
        <w:jc w:val="left"/>
        <w:tblInd w:w="0" w:type="dxa"/>
        <w:tblLayout w:type="fixed"/>
        <w:tblCellMar>
          <w:top w:w="0" w:type="dxa"/>
          <w:left w:w="0" w:type="dxa"/>
          <w:bottom w:w="28" w:type="dxa"/>
          <w:right w:w="0" w:type="dxa"/>
        </w:tblCellMar>
      </w:tblPr>
      <w:tblGrid>
        <w:gridCol w:w="3200"/>
        <w:gridCol w:w="23"/>
        <w:gridCol w:w="905"/>
      </w:tblGrid>
      <w:tr>
        <w:trPr/>
        <w:tc>
          <w:tcPr>
            <w:tcW w:w="320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9335 Harris Corners Pkwy, Ste 300,</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Charlotte, North Carolina</w:t>
            </w:r>
          </w:p>
        </w:tc>
        <w:tc>
          <w:tcPr>
            <w:tcW w:w="23" w:type="dxa"/>
            <w:tcBorders/>
            <w:tcMar>
              <w:bottom w:w="0" w:type="dxa"/>
            </w:tcMar>
            <w:vAlign w:val="center"/>
          </w:tcPr>
          <w:p>
            <w:pPr>
              <w:pStyle w:val="TableContents"/>
              <w:bidi w:val="0"/>
              <w:spacing w:before="0" w:after="283"/>
              <w:jc w:val="left"/>
              <w:rPr/>
            </w:pPr>
            <w:r>
              <w:rPr/>
            </w:r>
          </w:p>
        </w:tc>
        <w:tc>
          <w:tcPr>
            <w:tcW w:w="9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28269</w:t>
            </w:r>
          </w:p>
        </w:tc>
      </w:tr>
      <w:tr>
        <w:trPr/>
        <w:tc>
          <w:tcPr>
            <w:tcW w:w="32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23" w:type="dxa"/>
            <w:tcBorders/>
            <w:tcMar>
              <w:bottom w:w="0" w:type="dxa"/>
            </w:tcMar>
            <w:vAlign w:val="center"/>
          </w:tcPr>
          <w:p>
            <w:pPr>
              <w:pStyle w:val="TableContents"/>
              <w:bidi w:val="0"/>
              <w:spacing w:before="0" w:after="283"/>
              <w:jc w:val="left"/>
              <w:rPr/>
            </w:pPr>
            <w:r>
              <w:rPr/>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440" w:type="dxa"/>
        <w:jc w:val="left"/>
        <w:tblInd w:w="0" w:type="dxa"/>
        <w:tblLayout w:type="fixed"/>
        <w:tblCellMar>
          <w:top w:w="0" w:type="dxa"/>
          <w:left w:w="0" w:type="dxa"/>
          <w:bottom w:w="0" w:type="dxa"/>
          <w:right w:w="0" w:type="dxa"/>
        </w:tblCellMar>
      </w:tblPr>
      <w:tblGrid>
        <w:gridCol w:w="4265"/>
        <w:gridCol w:w="1175"/>
      </w:tblGrid>
      <w:tr>
        <w:trPr/>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11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866 744-7380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(N/A)</w:t>
      </w:r>
    </w:p>
    <w:p>
      <w:pPr>
        <w:pStyle w:val="HorizontalLine"/>
        <w:bidi w:val="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6195" w:type="dxa"/>
        <w:jc w:val="left"/>
        <w:tblInd w:w="0" w:type="dxa"/>
        <w:tblLayout w:type="fixed"/>
        <w:tblCellMar>
          <w:top w:w="0" w:type="dxa"/>
          <w:left w:w="0" w:type="dxa"/>
          <w:bottom w:w="28" w:type="dxa"/>
          <w:right w:w="0" w:type="dxa"/>
        </w:tblCellMar>
      </w:tblPr>
      <w:tblGrid>
        <w:gridCol w:w="1520"/>
        <w:gridCol w:w="60"/>
        <w:gridCol w:w="860"/>
        <w:gridCol w:w="60"/>
        <w:gridCol w:w="3695"/>
      </w:tblGrid>
      <w:tr>
        <w:trPr/>
        <w:tc>
          <w:tcPr>
            <w:tcW w:w="152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52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MAGN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in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0"/>
          <w:shd w:fill="FFFFFF" w:val="clear"/>
        </w:rPr>
        <w:t xml:space="preserve">Emerging growth company  </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0" w:name="Section2"/>
      <w:bookmarkStart w:id="1" w:name="Section2"/>
      <w:bookmarkEnd w:id="1"/>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May 7, 2026, the Company reported its results of operations for the quarter ended March 28, 2026. A copy of the press release issued by the Company is furnished herewith as 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 w:name="Section3"/>
      <w:bookmarkStart w:id="3" w:name="Section3"/>
      <w:bookmarkEnd w:id="3"/>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6895" w:type="dxa"/>
        <w:jc w:val="left"/>
        <w:tblInd w:w="0" w:type="dxa"/>
        <w:tblLayout w:type="fixed"/>
        <w:tblCellMar>
          <w:top w:w="0" w:type="dxa"/>
          <w:left w:w="0" w:type="dxa"/>
          <w:bottom w:w="0" w:type="dxa"/>
          <w:right w:w="0" w:type="dxa"/>
        </w:tblCellMar>
      </w:tblPr>
      <w:tblGrid>
        <w:gridCol w:w="380"/>
        <w:gridCol w:w="6515"/>
      </w:tblGrid>
      <w:tr>
        <w:trPr/>
        <w:tc>
          <w:tcPr>
            <w:tcW w:w="380" w:type="dxa"/>
            <w:tcBorders/>
            <w:vAlign w:val="center"/>
          </w:tcPr>
          <w:p>
            <w:pPr>
              <w:pStyle w:val="TableContents"/>
              <w:bidi w:val="0"/>
              <w:spacing w:before="0" w:after="0"/>
              <w:jc w:val="both"/>
              <w:rPr/>
            </w:pPr>
            <w:hyperlink w:anchor="ef20072634_ex99-1.htm">
              <w:r>
                <w:rPr>
                  <w:rStyle w:val="InternetLink"/>
                  <w:rFonts w:ascii="Times New Roman" w:hAnsi="Times New Roman"/>
                  <w:color w:val="000000"/>
                  <w:sz w:val="20"/>
                </w:rPr>
                <w:t>99.1</w:t>
              </w:r>
            </w:hyperlink>
          </w:p>
        </w:tc>
        <w:tc>
          <w:tcPr>
            <w:tcW w:w="65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issued May 7, 2026.</w:t>
            </w:r>
          </w:p>
        </w:tc>
      </w:tr>
      <w:tr>
        <w:trPr/>
        <w:tc>
          <w:tcPr>
            <w:tcW w:w="3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104</w:t>
            </w:r>
          </w:p>
        </w:tc>
        <w:tc>
          <w:tcPr>
            <w:tcW w:w="65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furnished in this Current Report on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4" w:name="Section4"/>
      <w:bookmarkEnd w:id="4"/>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3255" w:type="dxa"/>
        <w:jc w:val="left"/>
        <w:tblInd w:w="0" w:type="dxa"/>
        <w:tblLayout w:type="fixed"/>
        <w:tblCellMar>
          <w:top w:w="0" w:type="dxa"/>
          <w:left w:w="0" w:type="dxa"/>
          <w:bottom w:w="0" w:type="dxa"/>
          <w:right w:w="0" w:type="dxa"/>
        </w:tblCellMar>
      </w:tblPr>
      <w:tblGrid>
        <w:gridCol w:w="1055"/>
        <w:gridCol w:w="320"/>
        <w:gridCol w:w="1880"/>
      </w:tblGrid>
      <w:tr>
        <w:trPr/>
        <w:tc>
          <w:tcPr>
            <w:tcW w:w="1055" w:type="dxa"/>
            <w:tcBorders/>
            <w:vAlign w:val="center"/>
          </w:tcPr>
          <w:p>
            <w:pPr>
              <w:pStyle w:val="TableContents"/>
              <w:bidi w:val="0"/>
              <w:spacing w:before="0" w:after="283"/>
              <w:jc w:val="left"/>
              <w:rPr/>
            </w:pPr>
            <w:r>
              <w:rPr/>
            </w:r>
          </w:p>
        </w:tc>
        <w:tc>
          <w:tcPr>
            <w:tcW w:w="220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Magnera Corporation</w:t>
            </w:r>
          </w:p>
        </w:tc>
      </w:tr>
      <w:tr>
        <w:trPr/>
        <w:tc>
          <w:tcPr>
            <w:tcW w:w="10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1880" w:type="dxa"/>
            <w:tcBorders/>
            <w:vAlign w:val="center"/>
          </w:tcPr>
          <w:p>
            <w:pPr>
              <w:pStyle w:val="TableContents"/>
              <w:bidi w:val="0"/>
              <w:spacing w:before="0" w:after="283"/>
              <w:jc w:val="left"/>
              <w:rPr/>
            </w:pPr>
            <w:r>
              <w:rPr/>
            </w:r>
          </w:p>
        </w:tc>
      </w:tr>
      <w:tr>
        <w:trPr/>
        <w:tc>
          <w:tcPr>
            <w:tcW w:w="10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May 7,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8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James M. Till</w:t>
            </w:r>
          </w:p>
        </w:tc>
      </w:tr>
      <w:tr>
        <w:trPr/>
        <w:tc>
          <w:tcPr>
            <w:tcW w:w="10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James M. Till</w:t>
            </w:r>
          </w:p>
        </w:tc>
      </w:tr>
      <w:tr>
        <w:trPr/>
        <w:tc>
          <w:tcPr>
            <w:tcW w:w="10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5" w:name="ef20072634_ex99-1.htm"/>
      <w:bookmarkStart w:id="6" w:name="ksef20072634_ex991"/>
      <w:bookmarkStart w:id="7" w:name="ef20072634_ex99-1.htm"/>
      <w:bookmarkStart w:id="8" w:name="ksef20072634_ex991"/>
      <w:bookmarkEnd w:id="7"/>
      <w:bookmarkEnd w:id="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rPr>
      </w:pPr>
      <w:r>
        <w:rPr>
          <w:b/>
        </w:rPr>
      </w:r>
    </w:p>
    <w:tbl>
      <w:tblPr>
        <w:tblW w:w="4363" w:type="dxa"/>
        <w:jc w:val="left"/>
        <w:tblInd w:w="0" w:type="dxa"/>
        <w:tblLayout w:type="fixed"/>
        <w:tblCellMar>
          <w:top w:w="0" w:type="dxa"/>
          <w:left w:w="0" w:type="dxa"/>
          <w:bottom w:w="0" w:type="dxa"/>
          <w:right w:w="0" w:type="dxa"/>
        </w:tblCellMar>
      </w:tblPr>
      <w:tblGrid>
        <w:gridCol w:w="2970"/>
        <w:gridCol w:w="23"/>
        <w:gridCol w:w="1370"/>
      </w:tblGrid>
      <w:tr>
        <w:trPr/>
        <w:tc>
          <w:tcPr>
            <w:tcW w:w="2970" w:type="dxa"/>
            <w:tcBorders/>
            <w:vAlign w:val="center"/>
          </w:tcPr>
          <w:p>
            <w:pPr>
              <w:pStyle w:val="TableContents"/>
              <w:bidi w:val="0"/>
              <w:spacing w:before="0" w:after="283"/>
              <w:jc w:val="left"/>
              <w:rPr/>
            </w:pPr>
            <w:r>
              <w:rPr/>
              <w:drawing>
                <wp:inline distT="0" distB="0" distL="0" distR="0">
                  <wp:extent cx="18859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14350"/>
                          </a:xfrm>
                          <a:prstGeom prst="rect">
                            <a:avLst/>
                          </a:prstGeom>
                        </pic:spPr>
                      </pic:pic>
                    </a:graphicData>
                  </a:graphic>
                </wp:inline>
              </w:drawing>
            </w:r>
          </w:p>
        </w:tc>
        <w:tc>
          <w:tcPr>
            <w:tcW w:w="23" w:type="dxa"/>
            <w:tcBorders/>
            <w:vAlign w:val="center"/>
          </w:tcPr>
          <w:p>
            <w:pPr>
              <w:pStyle w:val="TableContents"/>
              <w:bidi w:val="0"/>
              <w:spacing w:before="0" w:after="283"/>
              <w:jc w:val="left"/>
              <w:rPr/>
            </w:pPr>
            <w:r>
              <w:rPr/>
            </w:r>
          </w:p>
        </w:tc>
        <w:tc>
          <w:tcPr>
            <w:tcW w:w="1370" w:type="dxa"/>
            <w:tcBorders/>
            <w:vAlign w:val="center"/>
          </w:tcPr>
          <w:p>
            <w:pPr>
              <w:pStyle w:val="TableContents"/>
              <w:bidi w:val="0"/>
              <w:spacing w:before="0" w:after="283"/>
              <w:jc w:val="right"/>
              <w:rPr>
                <w:b w:val="false"/>
              </w:rPr>
            </w:pPr>
            <w:r>
              <w:rPr>
                <w:b w:val="false"/>
              </w:rPr>
              <w:t>News Release</w:t>
            </w:r>
          </w:p>
        </w:tc>
      </w:tr>
    </w:tbl>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Magnera Reports Second Quarter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Second Quarter Highlights</w:t>
      </w:r>
    </w:p>
    <w:p>
      <w:pPr>
        <w:pStyle w:val="Normal"/>
        <w:bidi w:val="0"/>
        <w:spacing w:before="0" w:after="0"/>
        <w:jc w:val="left"/>
        <w:rPr>
          <w:sz w:val="4"/>
          <w:szCs w:val="4"/>
        </w:rPr>
      </w:pPr>
      <w:r>
        <w:rPr>
          <w:sz w:val="4"/>
          <w:szCs w:val="4"/>
        </w:rPr>
      </w:r>
      <w:bookmarkStart w:id="9" w:name="z5af210b560f04b488de1a9632fa4002f"/>
      <w:bookmarkStart w:id="10" w:name="z5af210b560f04b488de1a9632fa4002f"/>
      <w:bookmarkEnd w:id="10"/>
    </w:p>
    <w:tbl>
      <w:tblPr>
        <w:tblW w:w="6535" w:type="dxa"/>
        <w:jc w:val="left"/>
        <w:tblInd w:w="0" w:type="dxa"/>
        <w:tblLayout w:type="fixed"/>
        <w:tblCellMar>
          <w:top w:w="0" w:type="dxa"/>
          <w:left w:w="0" w:type="dxa"/>
          <w:bottom w:w="0" w:type="dxa"/>
          <w:right w:w="0" w:type="dxa"/>
        </w:tblCellMar>
      </w:tblPr>
      <w:tblGrid>
        <w:gridCol w:w="125"/>
        <w:gridCol w:w="6410"/>
      </w:tblGrid>
      <w:tr>
        <w:trPr/>
        <w:tc>
          <w:tcPr>
            <w:tcW w:w="125" w:type="dxa"/>
            <w:tcBorders/>
            <w:vAlign w:val="center"/>
          </w:tcPr>
          <w:p>
            <w:pPr>
              <w:pStyle w:val="TableContents"/>
              <w:bidi w:val="0"/>
              <w:spacing w:before="0" w:after="0"/>
              <w:jc w:val="left"/>
              <w:rPr/>
            </w:pPr>
            <w:r>
              <w:rPr/>
              <w:t>•</w:t>
            </w:r>
          </w:p>
        </w:tc>
        <w:tc>
          <w:tcPr>
            <w:tcW w:w="6410" w:type="dxa"/>
            <w:tcBorders/>
            <w:vAlign w:val="center"/>
          </w:tcPr>
          <w:p>
            <w:pPr>
              <w:pStyle w:val="TableContents"/>
              <w:bidi w:val="0"/>
              <w:spacing w:before="0" w:after="0"/>
              <w:jc w:val="left"/>
              <w:rPr/>
            </w:pPr>
            <w:r>
              <w:rPr/>
              <w:t>GAAP: Net sales of $796 million, Operating income of $17 million</w:t>
            </w:r>
          </w:p>
        </w:tc>
      </w:tr>
    </w:tbl>
    <w:p>
      <w:pPr>
        <w:pStyle w:val="Normal"/>
        <w:bidi w:val="0"/>
        <w:spacing w:before="0" w:after="0"/>
        <w:jc w:val="left"/>
        <w:rPr>
          <w:sz w:val="4"/>
          <w:szCs w:val="4"/>
        </w:rPr>
      </w:pPr>
      <w:r>
        <w:rPr>
          <w:sz w:val="4"/>
          <w:szCs w:val="4"/>
        </w:rPr>
      </w:r>
      <w:bookmarkStart w:id="11" w:name="zbd7f3c13ea5b48c3a9fcbeb4b803ff52"/>
      <w:bookmarkStart w:id="12" w:name="zbd7f3c13ea5b48c3a9fcbeb4b803ff52"/>
      <w:bookmarkEnd w:id="12"/>
    </w:p>
    <w:tbl>
      <w:tblPr>
        <w:tblW w:w="4660" w:type="dxa"/>
        <w:jc w:val="left"/>
        <w:tblInd w:w="0" w:type="dxa"/>
        <w:tblLayout w:type="fixed"/>
        <w:tblCellMar>
          <w:top w:w="0" w:type="dxa"/>
          <w:left w:w="0" w:type="dxa"/>
          <w:bottom w:w="0" w:type="dxa"/>
          <w:right w:w="0" w:type="dxa"/>
        </w:tblCellMar>
      </w:tblPr>
      <w:tblGrid>
        <w:gridCol w:w="125"/>
        <w:gridCol w:w="4535"/>
      </w:tblGrid>
      <w:tr>
        <w:trPr/>
        <w:tc>
          <w:tcPr>
            <w:tcW w:w="125" w:type="dxa"/>
            <w:tcBorders/>
            <w:vAlign w:val="center"/>
          </w:tcPr>
          <w:p>
            <w:pPr>
              <w:pStyle w:val="TableContents"/>
              <w:bidi w:val="0"/>
              <w:spacing w:before="0" w:after="0"/>
              <w:jc w:val="left"/>
              <w:rPr/>
            </w:pPr>
            <w:r>
              <w:rPr/>
              <w:t>•</w:t>
            </w:r>
          </w:p>
        </w:tc>
        <w:tc>
          <w:tcPr>
            <w:tcW w:w="4535" w:type="dxa"/>
            <w:tcBorders/>
            <w:vAlign w:val="center"/>
          </w:tcPr>
          <w:p>
            <w:pPr>
              <w:pStyle w:val="TableContents"/>
              <w:bidi w:val="0"/>
              <w:spacing w:before="0" w:after="0"/>
              <w:jc w:val="left"/>
              <w:rPr/>
            </w:pPr>
            <w:r>
              <w:rPr/>
              <w:t>Non-GAAP: Adjusted EBITDA of $90 million</w:t>
            </w:r>
          </w:p>
        </w:tc>
      </w:tr>
    </w:tbl>
    <w:p>
      <w:pPr>
        <w:pStyle w:val="Normal"/>
        <w:bidi w:val="0"/>
        <w:spacing w:before="0" w:after="0"/>
        <w:jc w:val="left"/>
        <w:rPr>
          <w:sz w:val="4"/>
          <w:szCs w:val="4"/>
        </w:rPr>
      </w:pPr>
      <w:r>
        <w:rPr>
          <w:sz w:val="4"/>
          <w:szCs w:val="4"/>
        </w:rPr>
      </w:r>
      <w:bookmarkStart w:id="13" w:name="z0280134ec5ca4b15830c6b35435222be"/>
      <w:bookmarkStart w:id="14" w:name="z0280134ec5ca4b15830c6b35435222be"/>
      <w:bookmarkEnd w:id="1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before="0" w:after="0"/>
              <w:jc w:val="left"/>
              <w:rPr/>
            </w:pPr>
            <w:r>
              <w:rPr/>
              <w:t>Free cash flow $73 million, representing a twelve-month adjusted free cash flow yield of over 40% as of quarter-end</w:t>
            </w:r>
          </w:p>
        </w:tc>
      </w:tr>
    </w:tbl>
    <w:p>
      <w:pPr>
        <w:pStyle w:val="TextBody"/>
        <w:bidi w:val="0"/>
        <w:spacing w:before="0" w:after="0"/>
        <w:jc w:val="left"/>
        <w:rPr/>
      </w:pPr>
      <w:r>
        <w:rPr/>
      </w:r>
    </w:p>
    <w:tbl>
      <w:tblPr>
        <w:tblW w:w="10205" w:type="dxa"/>
        <w:jc w:val="left"/>
        <w:tblInd w:w="-15" w:type="dxa"/>
        <w:tblLayout w:type="fixed"/>
        <w:tblCellMar>
          <w:top w:w="28" w:type="dxa"/>
          <w:left w:w="28" w:type="dxa"/>
          <w:bottom w:w="0" w:type="dxa"/>
          <w:right w:w="0" w:type="dxa"/>
        </w:tblCellMar>
      </w:tblPr>
      <w:tblGrid>
        <w:gridCol w:w="23"/>
        <w:gridCol w:w="10159"/>
        <w:gridCol w:w="23"/>
      </w:tblGrid>
      <w:tr>
        <w:trPr/>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10159" w:type="dxa"/>
            <w:tcBorders>
              <w:top w:val="single" w:sz="12" w:space="0" w:color="000000"/>
            </w:tcBorders>
            <w:tcMar>
              <w:left w:w="0" w:type="dxa"/>
            </w:tcMar>
            <w:vAlign w:val="center"/>
          </w:tcPr>
          <w:p>
            <w:pPr>
              <w:pStyle w:val="TableContents"/>
              <w:bidi w:val="0"/>
              <w:spacing w:before="0" w:after="283"/>
              <w:jc w:val="left"/>
              <w:rPr/>
            </w:pPr>
            <w:r>
              <w:rPr/>
            </w:r>
          </w:p>
        </w:tc>
        <w:tc>
          <w:tcPr>
            <w:tcW w:w="23"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r>
          </w:p>
        </w:tc>
      </w:tr>
      <w:tr>
        <w:trPr/>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10159" w:type="dxa"/>
            <w:tcBorders/>
            <w:tcMar>
              <w:top w:w="0" w:type="dxa"/>
              <w:left w:w="0" w:type="dxa"/>
            </w:tcMar>
            <w:vAlign w:val="center"/>
          </w:tcPr>
          <w:p>
            <w:pPr>
              <w:pStyle w:val="TableContents"/>
              <w:bidi w:val="0"/>
              <w:spacing w:before="0" w:after="0"/>
              <w:jc w:val="left"/>
              <w:rPr/>
            </w:pPr>
            <w:r>
              <w:rPr/>
              <w:t>Curt Begle, Magnera’s CEO, commented: “Magnera delivered a solid second quarter in line with our expectations as we remain steadfast during this time of significant global uncertainty to deliver on our full-year 2026 Adjusted EBITDA and free cash flow guidance.</w:t>
            </w:r>
          </w:p>
          <w:p>
            <w:pPr>
              <w:pStyle w:val="TableContents"/>
              <w:bidi w:val="0"/>
              <w:spacing w:before="0" w:after="0"/>
              <w:jc w:val="left"/>
              <w:rPr/>
            </w:pPr>
            <w:r>
              <w:rPr/>
              <w:t> </w:t>
            </w:r>
          </w:p>
          <w:p>
            <w:pPr>
              <w:pStyle w:val="TableContents"/>
              <w:bidi w:val="0"/>
              <w:spacing w:before="0" w:after="0"/>
              <w:jc w:val="left"/>
              <w:rPr/>
            </w:pPr>
            <w:r>
              <w:rPr/>
              <w:t xml:space="preserve">We made $36 million in debt repayments during the quarter and generated $73 million of free cash flow demonstrating our disciplined focus on operational excellence, capex deployment, and working capital improvement initiatives. </w:t>
            </w:r>
          </w:p>
          <w:p>
            <w:pPr>
              <w:pStyle w:val="TableContents"/>
              <w:bidi w:val="0"/>
              <w:spacing w:before="0" w:after="0"/>
              <w:jc w:val="left"/>
              <w:rPr/>
            </w:pPr>
            <w:r>
              <w:rPr/>
              <w:t> </w:t>
            </w:r>
          </w:p>
          <w:p>
            <w:pPr>
              <w:pStyle w:val="TableContents"/>
              <w:bidi w:val="0"/>
              <w:spacing w:before="0" w:after="0"/>
              <w:jc w:val="left"/>
              <w:rPr/>
            </w:pPr>
            <w:r>
              <w:rPr/>
              <w:t>Since the start-up of Magnera, we have demonstrated the resiliency of our business against an on-going challenging global macro environment.  Our strategic focus remains centered on the pillars of cost optimization, portfolio differentiation, and commercial excellence.  Our disciplined commitment to these priorities will continue to position Magnera to deliver growth in long-term shareholder value.”</w:t>
            </w:r>
          </w:p>
        </w:tc>
        <w:tc>
          <w:tcPr>
            <w:tcW w:w="23"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r>
          </w:p>
        </w:tc>
      </w:tr>
      <w:tr>
        <w:trPr/>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10159"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r>
          </w:p>
        </w:tc>
        <w:tc>
          <w:tcPr>
            <w:tcW w:w="23"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color w:val="000000"/>
        </w:rPr>
      </w:pPr>
      <w:r>
        <w:rPr>
          <w:color w:val="000000"/>
        </w:rPr>
        <w:t> </w:t>
      </w:r>
      <w:r>
        <w:rPr>
          <w:rFonts w:ascii="Times New Roman" w:hAnsi="Times New Roman"/>
          <w:b/>
          <w:color w:val="000000"/>
          <w:sz w:val="20"/>
        </w:rPr>
        <w:t xml:space="preserve">Key Financials </w:t>
      </w:r>
    </w:p>
    <w:p>
      <w:pPr>
        <w:pStyle w:val="Normal"/>
        <w:bidi w:val="0"/>
        <w:spacing w:before="0" w:after="0"/>
        <w:jc w:val="left"/>
        <w:rPr>
          <w:sz w:val="4"/>
          <w:szCs w:val="4"/>
        </w:rPr>
      </w:pPr>
      <w:r>
        <w:rPr>
          <w:sz w:val="4"/>
          <w:szCs w:val="4"/>
        </w:rPr>
      </w:r>
      <w:bookmarkStart w:id="15" w:name="zc8b177e97f4640bf97604978adb1ccbf"/>
      <w:bookmarkStart w:id="16" w:name="zc8b177e97f4640bf97604978adb1ccbf"/>
      <w:bookmarkEnd w:id="16"/>
    </w:p>
    <w:tbl>
      <w:tblPr>
        <w:tblW w:w="5102" w:type="dxa"/>
        <w:jc w:val="left"/>
        <w:tblInd w:w="0" w:type="dxa"/>
        <w:tblLayout w:type="fixed"/>
        <w:tblCellMar>
          <w:top w:w="0" w:type="dxa"/>
          <w:left w:w="0" w:type="dxa"/>
          <w:bottom w:w="0" w:type="dxa"/>
          <w:right w:w="0" w:type="dxa"/>
        </w:tblCellMar>
      </w:tblPr>
      <w:tblGrid>
        <w:gridCol w:w="1715"/>
        <w:gridCol w:w="60"/>
        <w:gridCol w:w="192"/>
        <w:gridCol w:w="522"/>
        <w:gridCol w:w="82"/>
        <w:gridCol w:w="82"/>
        <w:gridCol w:w="192"/>
        <w:gridCol w:w="522"/>
        <w:gridCol w:w="60"/>
        <w:gridCol w:w="60"/>
        <w:gridCol w:w="140"/>
        <w:gridCol w:w="560"/>
        <w:gridCol w:w="60"/>
        <w:gridCol w:w="60"/>
        <w:gridCol w:w="140"/>
        <w:gridCol w:w="560"/>
        <w:gridCol w:w="95"/>
      </w:tblGrid>
      <w:tr>
        <w:trPr/>
        <w:tc>
          <w:tcPr>
            <w:tcW w:w="171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592" w:type="dxa"/>
            <w:gridSpan w:val="6"/>
            <w:tcBorders>
              <w:top w:val="single" w:sz="12" w:space="0" w:color="000000"/>
            </w:tcBorders>
            <w:tcMar>
              <w:top w:w="28" w:type="dxa"/>
            </w:tcMar>
            <w:vAlign w:val="bottom"/>
          </w:tcPr>
          <w:p>
            <w:pPr>
              <w:pStyle w:val="TableContents"/>
              <w:bidi w:val="0"/>
              <w:spacing w:before="0" w:after="0"/>
              <w:jc w:val="center"/>
              <w:rPr>
                <w:b/>
              </w:rPr>
            </w:pPr>
            <w:r>
              <w:rPr>
                <w:b/>
              </w:rPr>
              <w:t>March Quarter</w:t>
            </w:r>
          </w:p>
        </w:tc>
        <w:tc>
          <w:tcPr>
            <w:tcW w:w="60" w:type="dxa"/>
            <w:tcBorders>
              <w:top w:val="single" w:sz="12" w:space="0" w:color="000000"/>
            </w:tcBorders>
            <w:tcMar>
              <w:top w:w="28"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520" w:type="dxa"/>
            <w:gridSpan w:val="6"/>
            <w:tcBorders>
              <w:top w:val="single" w:sz="12" w:space="0" w:color="000000"/>
            </w:tcBorders>
            <w:tcMar>
              <w:top w:w="28" w:type="dxa"/>
            </w:tcMar>
            <w:vAlign w:val="bottom"/>
          </w:tcPr>
          <w:p>
            <w:pPr>
              <w:pStyle w:val="TableContents"/>
              <w:bidi w:val="0"/>
              <w:spacing w:before="0" w:after="0"/>
              <w:jc w:val="center"/>
              <w:rPr>
                <w:b/>
              </w:rPr>
            </w:pPr>
            <w:r>
              <w:rPr>
                <w:b/>
              </w:rPr>
              <w:t>March YTD</w:t>
            </w:r>
          </w:p>
        </w:tc>
        <w:tc>
          <w:tcPr>
            <w:tcW w:w="95"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r>
      <w:tr>
        <w:trPr/>
        <w:tc>
          <w:tcPr>
            <w:tcW w:w="1715" w:type="dxa"/>
            <w:tcBorders>
              <w:bottom w:val="single" w:sz="12" w:space="0" w:color="000000"/>
            </w:tcBorders>
            <w:tcMar>
              <w:bottom w:w="28" w:type="dxa"/>
            </w:tcMar>
            <w:vAlign w:val="bottom"/>
          </w:tcPr>
          <w:p>
            <w:pPr>
              <w:pStyle w:val="TableContents"/>
              <w:bidi w:val="0"/>
              <w:spacing w:before="0" w:after="0"/>
              <w:ind w:left="144" w:right="0" w:hanging="144"/>
              <w:jc w:val="left"/>
              <w:rPr>
                <w:b/>
              </w:rPr>
            </w:pPr>
            <w:r>
              <w:rPr>
                <w:b/>
              </w:rPr>
              <w:t xml:space="preserve">GAAP results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7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1715" w:type="dxa"/>
            <w:tcBorders/>
            <w:shd w:fill="CCEEFF" w:val="clear"/>
            <w:vAlign w:val="bottom"/>
          </w:tcPr>
          <w:p>
            <w:pPr>
              <w:pStyle w:val="TableContents"/>
              <w:bidi w:val="0"/>
              <w:spacing w:before="0" w:after="0"/>
              <w:ind w:left="144" w:right="0" w:hanging="144"/>
              <w:jc w:val="left"/>
              <w:rPr/>
            </w:pPr>
            <w:r>
              <w:rPr/>
              <w:t>Net sales</w:t>
            </w:r>
          </w:p>
        </w:tc>
        <w:tc>
          <w:tcPr>
            <w:tcW w:w="60" w:type="dxa"/>
            <w:tcBorders>
              <w:left w:val="single" w:sz="12" w:space="0" w:color="000000"/>
            </w:tcBorders>
            <w:shd w:fill="CCEEFF" w:val="clear"/>
            <w:tcMar>
              <w:left w:w="28" w:type="dxa"/>
            </w:tcM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522" w:type="dxa"/>
            <w:tcBorders/>
            <w:shd w:fill="CCEEFF" w:val="clear"/>
            <w:vAlign w:val="bottom"/>
          </w:tcPr>
          <w:p>
            <w:pPr>
              <w:pStyle w:val="TableContents"/>
              <w:bidi w:val="0"/>
              <w:spacing w:before="0" w:after="0"/>
              <w:jc w:val="right"/>
              <w:rPr>
                <w:color w:val="000000"/>
              </w:rPr>
            </w:pPr>
            <w:r>
              <w:rPr>
                <w:color w:val="000000"/>
              </w:rPr>
              <w:t>796</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522" w:type="dxa"/>
            <w:tcBorders/>
            <w:shd w:fill="CCEEFF" w:val="clear"/>
            <w:vAlign w:val="bottom"/>
          </w:tcPr>
          <w:p>
            <w:pPr>
              <w:pStyle w:val="TableContents"/>
              <w:bidi w:val="0"/>
              <w:spacing w:before="0" w:after="0"/>
              <w:jc w:val="right"/>
              <w:rPr>
                <w:color w:val="000000"/>
              </w:rPr>
            </w:pPr>
            <w:r>
              <w:rPr>
                <w:color w:val="000000"/>
              </w:rPr>
              <w:t>824</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1,588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1,526</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0"/>
              <w:ind w:left="144" w:right="0" w:hanging="144"/>
              <w:jc w:val="left"/>
              <w:rPr/>
            </w:pPr>
            <w:r>
              <w:rPr/>
              <w:t>Operating income</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5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5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z569fc466fabd4a06a0ec29b438c0df00"/>
      <w:bookmarkStart w:id="18" w:name="z569fc466fabd4a06a0ec29b438c0df00"/>
      <w:bookmarkEnd w:id="18"/>
    </w:p>
    <w:tbl>
      <w:tblPr>
        <w:tblW w:w="12295" w:type="dxa"/>
        <w:jc w:val="left"/>
        <w:tblInd w:w="0" w:type="dxa"/>
        <w:tblLayout w:type="fixed"/>
        <w:tblCellMar>
          <w:top w:w="0" w:type="dxa"/>
          <w:left w:w="0" w:type="dxa"/>
          <w:bottom w:w="0" w:type="dxa"/>
          <w:right w:w="0" w:type="dxa"/>
        </w:tblCellMar>
      </w:tblPr>
      <w:tblGrid>
        <w:gridCol w:w="2900"/>
        <w:gridCol w:w="60"/>
        <w:gridCol w:w="192"/>
        <w:gridCol w:w="522"/>
        <w:gridCol w:w="82"/>
        <w:gridCol w:w="82"/>
        <w:gridCol w:w="192"/>
        <w:gridCol w:w="525"/>
        <w:gridCol w:w="60"/>
        <w:gridCol w:w="60"/>
        <w:gridCol w:w="213"/>
        <w:gridCol w:w="767"/>
        <w:gridCol w:w="290"/>
        <w:gridCol w:w="60"/>
        <w:gridCol w:w="298"/>
        <w:gridCol w:w="1072"/>
        <w:gridCol w:w="290"/>
        <w:gridCol w:w="60"/>
        <w:gridCol w:w="140"/>
        <w:gridCol w:w="560"/>
        <w:gridCol w:w="60"/>
        <w:gridCol w:w="60"/>
        <w:gridCol w:w="140"/>
        <w:gridCol w:w="560"/>
        <w:gridCol w:w="60"/>
        <w:gridCol w:w="60"/>
        <w:gridCol w:w="294"/>
        <w:gridCol w:w="686"/>
        <w:gridCol w:w="215"/>
        <w:gridCol w:w="60"/>
        <w:gridCol w:w="298"/>
        <w:gridCol w:w="1072"/>
        <w:gridCol w:w="305"/>
      </w:tblGrid>
      <w:tr>
        <w:trPr/>
        <w:tc>
          <w:tcPr>
            <w:tcW w:w="2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6"/>
            <w:tcBorders/>
            <w:vAlign w:val="bottom"/>
          </w:tcPr>
          <w:p>
            <w:pPr>
              <w:pStyle w:val="TableContents"/>
              <w:bidi w:val="0"/>
              <w:spacing w:before="0" w:after="0"/>
              <w:jc w:val="center"/>
              <w:rPr>
                <w:b/>
              </w:rPr>
            </w:pPr>
            <w:r>
              <w:rPr>
                <w:b/>
              </w:rPr>
              <w:t>March 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0"/>
              <w:jc w:val="center"/>
              <w:rPr>
                <w:b/>
              </w:rPr>
            </w:pPr>
            <w:r>
              <w:rPr>
                <w:b/>
              </w:rPr>
              <w:t>Reported</w:t>
            </w:r>
          </w:p>
        </w:tc>
        <w:tc>
          <w:tcPr>
            <w:tcW w:w="29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370" w:type="dxa"/>
            <w:gridSpan w:val="2"/>
            <w:tcBorders>
              <w:top w:val="single" w:sz="12" w:space="0" w:color="000000"/>
            </w:tcBorders>
            <w:tcMar>
              <w:top w:w="28" w:type="dxa"/>
            </w:tcMar>
            <w:vAlign w:val="bottom"/>
          </w:tcPr>
          <w:p>
            <w:pPr>
              <w:pStyle w:val="TableContents"/>
              <w:bidi w:val="0"/>
              <w:spacing w:before="0" w:after="0"/>
              <w:jc w:val="center"/>
              <w:rPr>
                <w:b/>
              </w:rPr>
            </w:pPr>
            <w:r>
              <w:rPr>
                <w:b/>
              </w:rPr>
              <w:t>Comparable(1)</w:t>
            </w:r>
          </w:p>
        </w:tc>
        <w:tc>
          <w:tcPr>
            <w:tcW w:w="290"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vAlign w:val="bottom"/>
          </w:tcPr>
          <w:p>
            <w:pPr>
              <w:pStyle w:val="TableContents"/>
              <w:bidi w:val="0"/>
              <w:spacing w:before="0" w:after="0"/>
              <w:jc w:val="center"/>
              <w:rPr>
                <w:b/>
              </w:rPr>
            </w:pPr>
            <w:r>
              <w:rPr>
                <w:b/>
              </w:rPr>
              <w:t>March YTD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0"/>
              <w:jc w:val="center"/>
              <w:rPr>
                <w:b/>
              </w:rPr>
            </w:pPr>
            <w:r>
              <w:rPr>
                <w:b/>
              </w:rPr>
              <w:t>Reported</w:t>
            </w:r>
          </w:p>
        </w:tc>
        <w:tc>
          <w:tcPr>
            <w:tcW w:w="21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370" w:type="dxa"/>
            <w:gridSpan w:val="2"/>
            <w:tcBorders>
              <w:top w:val="single" w:sz="12" w:space="0" w:color="000000"/>
            </w:tcBorders>
            <w:tcMar>
              <w:top w:w="28" w:type="dxa"/>
            </w:tcMar>
            <w:vAlign w:val="bottom"/>
          </w:tcPr>
          <w:p>
            <w:pPr>
              <w:pStyle w:val="TableContents"/>
              <w:bidi w:val="0"/>
              <w:spacing w:before="0" w:after="0"/>
              <w:jc w:val="center"/>
              <w:rPr>
                <w:b/>
              </w:rPr>
            </w:pPr>
            <w:r>
              <w:rPr>
                <w:b/>
              </w:rPr>
              <w:t>Comparable(1)</w:t>
            </w:r>
          </w:p>
        </w:tc>
        <w:tc>
          <w:tcPr>
            <w:tcW w:w="305"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r>
      <w:tr>
        <w:trPr/>
        <w:tc>
          <w:tcPr>
            <w:tcW w:w="2900" w:type="dxa"/>
            <w:tcBorders>
              <w:bottom w:val="single" w:sz="12" w:space="0" w:color="000000"/>
            </w:tcBorders>
            <w:tcMar>
              <w:bottom w:w="28" w:type="dxa"/>
            </w:tcMar>
            <w:vAlign w:val="bottom"/>
          </w:tcPr>
          <w:p>
            <w:pPr>
              <w:pStyle w:val="TableContents"/>
              <w:bidi w:val="0"/>
              <w:spacing w:before="0" w:after="0"/>
              <w:ind w:left="144" w:right="0" w:hanging="144"/>
              <w:jc w:val="left"/>
              <w:rPr>
                <w:b/>
              </w:rPr>
            </w:pPr>
            <w:r>
              <w:rPr>
                <w:b/>
              </w:rPr>
              <w:t>Adjusted non-GAAP results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pPr>
            <w:r>
              <w:rPr/>
              <w:drawing>
                <wp:inline distT="0" distB="0" distL="0" distR="0">
                  <wp:extent cx="1428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 cy="123825"/>
                          </a:xfrm>
                          <a:prstGeom prst="rect">
                            <a:avLst/>
                          </a:prstGeom>
                        </pic:spPr>
                      </pic:pic>
                    </a:graphicData>
                  </a:graphic>
                </wp:inline>
              </w:drawing>
            </w:r>
            <w:r>
              <w:rPr>
                <w:b/>
              </w:rPr>
              <w:t>%</w:t>
            </w:r>
          </w:p>
        </w:tc>
        <w:tc>
          <w:tcPr>
            <w:tcW w:w="29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pPr>
            <w:r>
              <w:rPr/>
              <w:drawing>
                <wp:inline distT="0" distB="0" distL="0" distR="0">
                  <wp:extent cx="142875"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 cy="123825"/>
                          </a:xfrm>
                          <a:prstGeom prst="rect">
                            <a:avLst/>
                          </a:prstGeom>
                        </pic:spPr>
                      </pic:pic>
                    </a:graphicData>
                  </a:graphic>
                </wp:inline>
              </w:drawing>
            </w:r>
            <w:r>
              <w:rPr>
                <w:b/>
              </w:rPr>
              <w:t>%</w:t>
            </w:r>
          </w:p>
        </w:tc>
        <w:tc>
          <w:tcPr>
            <w:tcW w:w="29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pPr>
            <w:r>
              <w:rPr/>
              <w:drawing>
                <wp:inline distT="0" distB="0" distL="0" distR="0">
                  <wp:extent cx="142875"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 cy="123825"/>
                          </a:xfrm>
                          <a:prstGeom prst="rect">
                            <a:avLst/>
                          </a:prstGeom>
                        </pic:spPr>
                      </pic:pic>
                    </a:graphicData>
                  </a:graphic>
                </wp:inline>
              </w:drawing>
            </w:r>
            <w:r>
              <w:rPr>
                <w:b/>
              </w:rPr>
              <w:t>%</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pPr>
            <w:r>
              <w:rPr/>
              <w:drawing>
                <wp:inline distT="0" distB="0" distL="0" distR="0">
                  <wp:extent cx="142875"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 cy="123825"/>
                          </a:xfrm>
                          <a:prstGeom prst="rect">
                            <a:avLst/>
                          </a:prstGeom>
                        </pic:spPr>
                      </pic:pic>
                    </a:graphicData>
                  </a:graphic>
                </wp:inline>
              </w:drawing>
            </w:r>
            <w:r>
              <w:rPr>
                <w:b/>
              </w:rPr>
              <w:t>%</w:t>
            </w:r>
          </w:p>
        </w:tc>
        <w:tc>
          <w:tcPr>
            <w:tcW w:w="30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ind w:left="144" w:right="0" w:hanging="144"/>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522" w:type="dxa"/>
            <w:tcBorders/>
            <w:shd w:fill="CCEEFF" w:val="clear"/>
            <w:vAlign w:val="bottom"/>
          </w:tcPr>
          <w:p>
            <w:pPr>
              <w:pStyle w:val="TableContents"/>
              <w:bidi w:val="0"/>
              <w:spacing w:before="0" w:after="0"/>
              <w:jc w:val="right"/>
              <w:rPr>
                <w:color w:val="000000"/>
              </w:rPr>
            </w:pPr>
            <w:r>
              <w:rPr>
                <w:color w:val="000000"/>
              </w:rPr>
              <w:t>796</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525" w:type="dxa"/>
            <w:tcBorders/>
            <w:shd w:fill="CCEEFF" w:val="clear"/>
            <w:vAlign w:val="bottom"/>
          </w:tcPr>
          <w:p>
            <w:pPr>
              <w:pStyle w:val="TableContents"/>
              <w:bidi w:val="0"/>
              <w:spacing w:before="0" w:after="0"/>
              <w:jc w:val="right"/>
              <w:rPr>
                <w:color w:val="000000"/>
              </w:rPr>
            </w:pPr>
            <w:r>
              <w:rPr>
                <w:color w:val="000000"/>
              </w:rPr>
              <w:t>824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color w:val="000000"/>
              </w:rPr>
            </w:pPr>
            <w:r>
              <w:rPr>
                <w:color w:val="000000"/>
              </w:rPr>
              <w:t>(3</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60" w:type="dxa"/>
            <w:tcBorders>
              <w:left w:val="single" w:sz="12" w:space="0" w:color="000000"/>
            </w:tcBorders>
            <w:shd w:fill="CCEEFF" w:val="clear"/>
            <w:tcMar>
              <w:left w:w="28" w:type="dxa"/>
            </w:tcM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color w:val="000000"/>
              </w:rPr>
            </w:pPr>
            <w:r>
              <w:rPr>
                <w:color w:val="000000"/>
              </w:rPr>
              <w:t>(9</w:t>
            </w:r>
          </w:p>
        </w:tc>
        <w:tc>
          <w:tcPr>
            <w:tcW w:w="290" w:type="dxa"/>
            <w:tcBorders>
              <w:right w:val="single" w:sz="12" w:space="0" w:color="000000"/>
            </w:tcBorders>
            <w:shd w:fill="CCEEFF" w:val="clear"/>
            <w:tcMar>
              <w:right w:w="28" w:type="dxa"/>
            </w:tcM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1,588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1,526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0"/>
              <w:jc w:val="right"/>
              <w:rPr>
                <w:color w:val="000000"/>
              </w:rPr>
            </w:pPr>
            <w:r>
              <w:rPr>
                <w:color w:val="000000"/>
              </w:rPr>
              <w:t>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left w:val="single" w:sz="12" w:space="0" w:color="000000"/>
            </w:tcBorders>
            <w:shd w:fill="CCEEFF" w:val="clear"/>
            <w:tcMar>
              <w:left w:w="28" w:type="dxa"/>
            </w:tcM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color w:val="000000"/>
              </w:rPr>
            </w:pPr>
            <w:r>
              <w:rPr>
                <w:color w:val="000000"/>
              </w:rPr>
              <w:t>(8</w:t>
            </w:r>
          </w:p>
        </w:tc>
        <w:tc>
          <w:tcPr>
            <w:tcW w:w="305" w:type="dxa"/>
            <w:tcBorders>
              <w:right w:val="single" w:sz="12" w:space="0" w:color="000000"/>
            </w:tcBorders>
            <w:shd w:fill="CCEEFF" w:val="clear"/>
            <w:tcMar>
              <w:right w:w="28" w:type="dxa"/>
            </w:tcMar>
            <w:vAlign w:val="bottom"/>
          </w:tcPr>
          <w:p>
            <w:pPr>
              <w:pStyle w:val="TableContents"/>
              <w:bidi w:val="0"/>
              <w:spacing w:before="0" w:after="0"/>
              <w:jc w:val="left"/>
              <w:rPr>
                <w:color w:val="000000"/>
              </w:rPr>
            </w:pPr>
            <w:r>
              <w:rPr>
                <w:color w:val="000000"/>
              </w:rPr>
              <w:t>%)</w:t>
            </w:r>
          </w:p>
        </w:tc>
      </w:tr>
      <w:tr>
        <w:trPr/>
        <w:tc>
          <w:tcPr>
            <w:tcW w:w="2900" w:type="dxa"/>
            <w:tcBorders/>
            <w:vAlign w:val="bottom"/>
          </w:tcPr>
          <w:p>
            <w:pPr>
              <w:pStyle w:val="TableContents"/>
              <w:bidi w:val="0"/>
              <w:spacing w:lineRule="auto" w:line="240" w:before="0" w:after="0"/>
              <w:ind w:left="144" w:right="0" w:hanging="144"/>
              <w:jc w:val="left"/>
              <w:rPr/>
            </w:pPr>
            <w:r>
              <w:rPr/>
              <w:t xml:space="preserve">Adjusted EBITDA </w:t>
            </w:r>
            <w:r>
              <w:rPr>
                <w:b/>
              </w:rPr>
              <w:t>(1)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0"/>
              <w:jc w:val="right"/>
              <w:rPr>
                <w:color w:val="000000"/>
              </w:rPr>
            </w:pPr>
            <w:r>
              <w:rPr>
                <w:color w:val="000000"/>
              </w:rPr>
              <w:t>90</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0"/>
              <w:jc w:val="right"/>
              <w:rPr>
                <w:color w:val="000000"/>
              </w:rPr>
            </w:pPr>
            <w:r>
              <w:rPr>
                <w:color w:val="000000"/>
              </w:rPr>
              <w:t>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color w:val="000000"/>
              </w:rPr>
            </w:pPr>
            <w:r>
              <w:rPr>
                <w:color w:val="000000"/>
              </w:rPr>
              <w:t>1</w:t>
            </w:r>
          </w:p>
        </w:tc>
        <w:tc>
          <w:tcPr>
            <w:tcW w:w="290" w:type="dxa"/>
            <w:tcBorders/>
            <w:vAlign w:val="bottom"/>
          </w:tcPr>
          <w:p>
            <w:pPr>
              <w:pStyle w:val="TableContents"/>
              <w:bidi w:val="0"/>
              <w:spacing w:before="0" w:after="0"/>
              <w:jc w:val="left"/>
              <w:rPr>
                <w:color w:val="000000"/>
              </w:rPr>
            </w:pPr>
            <w:r>
              <w:rPr>
                <w:color w:val="000000"/>
              </w:rPr>
              <w:t>%</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29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290" w:type="dxa"/>
            <w:tcBorders>
              <w:bottom w:val="single" w:sz="12" w:space="0" w:color="000000"/>
              <w:right w:val="single" w:sz="12" w:space="0" w:color="000000"/>
            </w:tcBorders>
            <w:tcMar>
              <w:bottom w:w="28" w:type="dxa"/>
              <w:right w:w="28" w:type="dxa"/>
            </w:tcMar>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0"/>
              <w:jc w:val="right"/>
              <w:rPr>
                <w:color w:val="000000"/>
              </w:rPr>
            </w:pPr>
            <w:r>
              <w:rPr>
                <w:color w:val="000000"/>
              </w:rPr>
              <w:t>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29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305" w:type="dxa"/>
            <w:tcBorders>
              <w:bottom w:val="single" w:sz="12" w:space="0" w:color="000000"/>
              <w:right w:val="single" w:sz="12" w:space="0" w:color="000000"/>
            </w:tcBorders>
            <w:tcMar>
              <w:bottom w:w="28" w:type="dxa"/>
              <w:right w:w="28"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644232f2aa274da8ab571c14a00498a3"/>
      <w:bookmarkStart w:id="20" w:name="z644232f2aa274da8ab571c14a00498a3"/>
      <w:bookmarkEnd w:id="20"/>
    </w:p>
    <w:tbl>
      <w:tblPr>
        <w:tblW w:w="10205" w:type="dxa"/>
        <w:jc w:val="left"/>
        <w:tblInd w:w="0" w:type="dxa"/>
        <w:tblLayout w:type="fixed"/>
        <w:tblCellMar>
          <w:top w:w="0" w:type="dxa"/>
          <w:left w:w="0" w:type="dxa"/>
          <w:bottom w:w="0" w:type="dxa"/>
          <w:right w:w="0" w:type="dxa"/>
        </w:tblCellMar>
      </w:tblPr>
      <w:tblGrid>
        <w:gridCol w:w="98"/>
        <w:gridCol w:w="10107"/>
      </w:tblGrid>
      <w:tr>
        <w:trPr/>
        <w:tc>
          <w:tcPr>
            <w:tcW w:w="98" w:type="dxa"/>
            <w:tcBorders/>
            <w:vAlign w:val="center"/>
          </w:tcPr>
          <w:p>
            <w:pPr>
              <w:pStyle w:val="TableContents"/>
              <w:bidi w:val="0"/>
              <w:spacing w:before="0" w:after="0"/>
              <w:ind w:left="288" w:right="0" w:hanging="288"/>
              <w:jc w:val="left"/>
              <w:rPr>
                <w:b/>
                <w:sz w:val="20"/>
              </w:rPr>
            </w:pPr>
            <w:r>
              <w:rPr>
                <w:b/>
                <w:sz w:val="20"/>
              </w:rPr>
              <w:t>(1)</w:t>
            </w:r>
          </w:p>
        </w:tc>
        <w:tc>
          <w:tcPr>
            <w:tcW w:w="10107" w:type="dxa"/>
            <w:tcBorders/>
            <w:vAlign w:val="center"/>
          </w:tcPr>
          <w:p>
            <w:pPr>
              <w:pStyle w:val="TableContents"/>
              <w:bidi w:val="0"/>
              <w:spacing w:before="0" w:after="0"/>
              <w:jc w:val="left"/>
              <w:rPr>
                <w:sz w:val="20"/>
              </w:rPr>
            </w:pPr>
            <w:r>
              <w:rPr>
                <w:sz w:val="20"/>
              </w:rPr>
              <w:t>Adjusted non-GAAP results exclude items not considered to be ongoing operations.  In addition, comparable change % normalizes the impacts of foreign currency and the merger with Glatfelter.  Further details related to non-GAAP measures and reconciliations can be found under “Reconciliation of Non-GAAP Financial Measures and Estimates” section or in reconciliation tables in this release.  Dollars in millions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Consolidated Overview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21" w:name="z_Hlk219452417"/>
      <w:bookmarkEnd w:id="21"/>
      <w:r>
        <w:rPr>
          <w:rFonts w:ascii="Times New Roman" w:hAnsi="Times New Roman"/>
          <w:color w:val="000000"/>
          <w:sz w:val="20"/>
        </w:rPr>
        <w:t>The net sales decline included a $57 million decrease in selling prices primarily due to product mix and pass-through of lower raw material costs and a 2% organic volume decline partially offset by favorable foreign currency changes of $48 million.  The volume decline was primarily attributed to winter storm disruptions in North America and general market softness in Europe.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adjusted EBITDA was up 1% as a result of favorable price cost spread of $2 million and a $2 million favorable benefit from foreign currency changes were partially offset by lower volumes.  </w:t>
      </w:r>
    </w:p>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Americas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22" w:name="z_Hlk219453141"/>
      <w:bookmarkEnd w:id="22"/>
      <w:r>
        <w:rPr>
          <w:rFonts w:ascii="Times New Roman" w:hAnsi="Times New Roman"/>
          <w:color w:val="000000"/>
          <w:sz w:val="20"/>
        </w:rPr>
        <w:t>The net sales decline included a $42 million decrease in selling prices primarily due to product mix, pass-through of lower raw material costs and a 1% organic volume decline.  The volume decline was primarily attributed to winter storm disruptions in North America.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adjusted EBITDA decline was primarily a result of unfavorable price cost spread of $5 million.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Rest of World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23" w:name="z_Hlk219461016"/>
      <w:bookmarkEnd w:id="23"/>
      <w:r>
        <w:rPr>
          <w:rFonts w:ascii="Times New Roman" w:hAnsi="Times New Roman"/>
          <w:color w:val="000000"/>
          <w:sz w:val="20"/>
        </w:rPr>
        <w:t>The net sales increase included a favorable foreign currency change of $37 million partially offset by a $15 million decrease in selling prices primarily due to product mix, pass-through of lower raw material costs and a 4% organic volume decline.  The volume decline was primarily attributed to general market softness in Europe.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adjusted EBITDA increase was primarily a result of favorable price cost spread of $7 million as the result of synergy realization and mix improvement and a $2 million favorable benefit from foreign currency changes partially offset by softer volumes.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Investor Conference Call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will host a conference call, May 7, 2026, at 10:00 AM U.S. Eastern Time to discuss the March 2026 quarter results.  The webcast can be accessed here. A replay of the webcast will be available via the same link on the Company’s website after the completion of the call.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By Telephone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Participants may register for the call here now or any time up to and during the time of the call and will immediately receive the dial-in number and a unique pin to access the call.  While you may register at any time up to and during the time of the call, you are encouraged to join the call 15 minutes prior to the start of the event.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About Magnera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Magnera Corporation (NYSE: MAGN) serves 1,000+ customers worldwide, offering a wide range of material solutions, including components for absorbent hygiene products, protective apparel, wipes, specialty building and construction products, and products serving the food and beverage industry. Operating across 45 global facilities, Magnera is supported by approximately 8,000 employees. Magnera’s purpose is to better the world with new possibilities made real. For more than 160 years, the Company has delivered the material solutions their partners need to thrive. Through economic upheaval, global pandemics and changing end-user needs, we have consistently found ways to solve problems and exceed expectations. The distinct scale and comprehensive portfolio of products brings customers more materials and choices. Magnera builds personal partnerships that withstand an ever-changing world.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Visit </w:t>
      </w:r>
      <w:r>
        <w:rPr>
          <w:rFonts w:ascii="Times New Roman" w:hAnsi="Times New Roman"/>
          <w:color w:val="000000"/>
          <w:sz w:val="20"/>
          <w:u w:val="single"/>
        </w:rPr>
        <w:t>Magnera.com</w:t>
      </w:r>
      <w:r>
        <w:rPr>
          <w:rFonts w:ascii="Times New Roman" w:hAnsi="Times New Roman"/>
          <w:color w:val="000000"/>
          <w:sz w:val="20"/>
        </w:rPr>
        <w:t xml:space="preserve"> for more information and follow @MagneraCorporation on social platforms.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Non-GAAP Financial Measures and Estimates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press release includes non-GAAP financial measures including, but not limited to, Adjusted EBITDA, free cash flow, and comparable basis net sales and adjusted EBITDA.  A reconciliation of these non-GAAP financial measures to comparable measures determined in accordance with accounting principles generally accepted in the United States of America (GAAP) is set forth at the end of this press release.  Information reconciling forward-looking adjusted EBITDA and adjusted free cash flow are not provided because such information is not available without unreasonable effort due to high variability, complexity, and low visibility with respect to certain items, including debt refinancing activity or other non-comparable items.  These items are uncertain, depend on various factors, and could be material to our results computed in accordance with U.S. GAAP.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Forward Looking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document contains certain statements that are “forward-looking” statements within the meaning of the federal securities laws and are presented pursuant to the safe harbor provisions of the U.S. Private Securities Litigation Reform Act of 1995.  Such “forward-looking” statements include, but are not limited to, statements with respect to our future financial performance and condition, results of operations and business, our expectations or beliefs concerning future events, plans, objectives, expectations and intentions, and other statements that are not historical facts. These statements may contain words such as “believes,” “expects,” “may,” “will,” “should,” “would,” “could,” “seeks,” “approximately,” “intends,” “plans,” “estimates,” “projects,” “outlook,” “guidance,” “anticipates” or “looking forward” or similar expressions.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of Magnera and are subject to risks and uncertainties that may change at any time.  Forward-looking statements involve risks and uncertainties that could cause actual results to differ materially from those in the forward-looking statements. Although it is not possible to identify all of these risks and uncertainties, they include, among others, the following: global economic conditions; inflation; the cost and availability of raw materials and energy; disruption of our supply chain; the adverse impact of weather events on our facilities, inventory and suppliers, as well as adverse effects on our customers, suppliers and other business partners; the effect of competition on our business; our inability to integrate future acquired companies or to realized expected operating synergies; synergies expected to be achieved in connection with our business combination with a subsidiary of Berry Global Group, Inc.; our inability to retain our officers and employees or the occurrence of labor disputes; disruption of our information technology systems, including as a result of a cyber breach; risks associated with operating internationally, including fluctuating exchange rates, tariffs, differing tax laws and regulation; litigation and regulatory investigations; and disputes related to intellectual property used in our business.  Additional information regarding these risks and uncertainties and other risks applicable to our business are described in additional detail in our reports filed with the Securities and Exchange Commission (the “SEC”), including our Annual Report on Form 10-K for the fiscal year ended September 27, 2025, and other filings that we make with the SEC. These risk factors may not contain all of the material factors that are important to you. New factors may emerge from time to time, and it is not possible to either predict new factors or assess the potential effect of any such new factors. Accordingly, readers should not place undue reliance on those statements. All forward-looking statements are made as of the date hereof, and we undertake no obligation to publicly update or revise any forward-looking statement as a result of new information, future events or otherwise, except as otherwise required by law.  </w:t>
      </w:r>
    </w:p>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Consolidated and Combined Statements of Operations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d8a0a4cb1dd5420ea4cf596cd30e9b2c"/>
      <w:bookmarkStart w:id="25" w:name="zd8a0a4cb1dd5420ea4cf596cd30e9b2c"/>
      <w:bookmarkEnd w:id="25"/>
    </w:p>
    <w:tbl>
      <w:tblPr>
        <w:tblW w:w="10205" w:type="dxa"/>
        <w:jc w:val="left"/>
        <w:tblInd w:w="0" w:type="dxa"/>
        <w:tblLayout w:type="fixed"/>
        <w:tblCellMar>
          <w:top w:w="0" w:type="dxa"/>
          <w:left w:w="0" w:type="dxa"/>
          <w:bottom w:w="0" w:type="dxa"/>
          <w:right w:w="0" w:type="dxa"/>
        </w:tblCellMar>
      </w:tblPr>
      <w:tblGrid>
        <w:gridCol w:w="3050"/>
        <w:gridCol w:w="60"/>
        <w:gridCol w:w="388"/>
        <w:gridCol w:w="1222"/>
        <w:gridCol w:w="150"/>
        <w:gridCol w:w="94"/>
        <w:gridCol w:w="328"/>
        <w:gridCol w:w="1207"/>
        <w:gridCol w:w="95"/>
        <w:gridCol w:w="60"/>
        <w:gridCol w:w="322"/>
        <w:gridCol w:w="1288"/>
        <w:gridCol w:w="190"/>
        <w:gridCol w:w="120"/>
        <w:gridCol w:w="307"/>
        <w:gridCol w:w="1228"/>
        <w:gridCol w:w="96"/>
      </w:tblGrid>
      <w:tr>
        <w:trPr/>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9" w:type="dxa"/>
            <w:gridSpan w:val="6"/>
            <w:tcBorders>
              <w:bottom w:val="single" w:sz="12" w:space="0" w:color="000000"/>
            </w:tcBorders>
            <w:tcMar>
              <w:bottom w:w="28" w:type="dxa"/>
            </w:tcMar>
            <w:vAlign w:val="bottom"/>
          </w:tcPr>
          <w:p>
            <w:pPr>
              <w:pStyle w:val="TableContents"/>
              <w:bidi w:val="0"/>
              <w:spacing w:before="0" w:after="0"/>
              <w:jc w:val="center"/>
              <w:rPr>
                <w:b/>
              </w:rPr>
            </w:pPr>
            <w:r>
              <w:rPr>
                <w:b/>
              </w:rPr>
              <w:t>Quarterly Period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55" w:type="dxa"/>
            <w:gridSpan w:val="6"/>
            <w:tcBorders>
              <w:bottom w:val="single" w:sz="12" w:space="0" w:color="000000"/>
            </w:tcBorders>
            <w:tcMar>
              <w:bottom w:w="28" w:type="dxa"/>
            </w:tcMar>
            <w:vAlign w:val="bottom"/>
          </w:tcPr>
          <w:p>
            <w:pPr>
              <w:pStyle w:val="TableContents"/>
              <w:bidi w:val="0"/>
              <w:spacing w:before="0" w:after="0"/>
              <w:jc w:val="center"/>
              <w:rPr>
                <w:b/>
              </w:rPr>
            </w:pPr>
            <w:r>
              <w:rPr>
                <w:b/>
              </w:rPr>
              <w:t>Two Quarterly Periods Ended</w:t>
            </w:r>
          </w:p>
        </w:tc>
        <w:tc>
          <w:tcPr>
            <w:tcW w:w="96" w:type="dxa"/>
            <w:tcBorders/>
            <w:vAlign w:val="bottom"/>
          </w:tcPr>
          <w:p>
            <w:pPr>
              <w:pStyle w:val="TableContents"/>
              <w:bidi w:val="0"/>
              <w:spacing w:before="0" w:after="283"/>
              <w:jc w:val="left"/>
              <w:rPr/>
            </w:pPr>
            <w:r>
              <w:rPr/>
              <w:t> </w:t>
            </w:r>
          </w:p>
        </w:tc>
      </w:tr>
      <w:tr>
        <w:trPr/>
        <w:tc>
          <w:tcPr>
            <w:tcW w:w="3050" w:type="dxa"/>
            <w:tcBorders>
              <w:bottom w:val="single" w:sz="12" w:space="0" w:color="000000"/>
            </w:tcBorders>
            <w:tcMar>
              <w:bottom w:w="28" w:type="dxa"/>
            </w:tcMar>
            <w:vAlign w:val="bottom"/>
          </w:tcPr>
          <w:p>
            <w:pPr>
              <w:pStyle w:val="TableContents"/>
              <w:bidi w:val="0"/>
              <w:spacing w:before="0" w:after="0"/>
              <w:ind w:left="144" w:right="0" w:hanging="144"/>
              <w:jc w:val="left"/>
              <w:rPr>
                <w:i/>
              </w:rPr>
            </w:pPr>
            <w:r>
              <w:rPr>
                <w:i/>
              </w:rPr>
              <w:t>(in millions, except per share amounts)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28, 2026</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bottom"/>
          </w:tcPr>
          <w:p>
            <w:pPr>
              <w:pStyle w:val="TableContents"/>
              <w:bidi w:val="0"/>
              <w:spacing w:before="0" w:after="0"/>
              <w:jc w:val="center"/>
              <w:rPr/>
            </w:pPr>
            <w:r>
              <w:rPr/>
              <w:t>March 29, 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28, 2026</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bottom"/>
          </w:tcPr>
          <w:p>
            <w:pPr>
              <w:pStyle w:val="TableContents"/>
              <w:bidi w:val="0"/>
              <w:spacing w:before="0" w:after="0"/>
              <w:jc w:val="center"/>
              <w:rPr/>
            </w:pPr>
            <w:r>
              <w:rPr/>
              <w:t>March 29, 2025</w:t>
            </w:r>
          </w:p>
        </w:tc>
        <w:tc>
          <w:tcPr>
            <w:tcW w:w="96" w:type="dxa"/>
            <w:tcBorders/>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144" w:right="0" w:hanging="144"/>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0"/>
              <w:jc w:val="left"/>
              <w:rPr>
                <w:b/>
                <w:color w:val="000000"/>
              </w:rPr>
            </w:pPr>
            <w:r>
              <w:rPr>
                <w:b/>
                <w:color w:val="000000"/>
              </w:rPr>
              <w:t>$</w:t>
            </w:r>
          </w:p>
        </w:tc>
        <w:tc>
          <w:tcPr>
            <w:tcW w:w="1222" w:type="dxa"/>
            <w:tcBorders/>
            <w:shd w:fill="CCEEFF" w:val="clear"/>
            <w:vAlign w:val="bottom"/>
          </w:tcPr>
          <w:p>
            <w:pPr>
              <w:pStyle w:val="TableContents"/>
              <w:bidi w:val="0"/>
              <w:spacing w:before="0" w:after="0"/>
              <w:jc w:val="right"/>
              <w:rPr>
                <w:b/>
                <w:color w:val="000000"/>
              </w:rPr>
            </w:pPr>
            <w:r>
              <w:rPr>
                <w:b/>
                <w:color w:val="000000"/>
              </w:rPr>
              <w:t>796</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0"/>
              <w:jc w:val="left"/>
              <w:rPr>
                <w:color w:val="000000"/>
              </w:rPr>
            </w:pPr>
            <w:r>
              <w:rPr>
                <w:color w:val="000000"/>
              </w:rPr>
              <w:t>$</w:t>
            </w:r>
          </w:p>
        </w:tc>
        <w:tc>
          <w:tcPr>
            <w:tcW w:w="1207" w:type="dxa"/>
            <w:tcBorders/>
            <w:shd w:fill="CCEEFF" w:val="clear"/>
            <w:vAlign w:val="bottom"/>
          </w:tcPr>
          <w:p>
            <w:pPr>
              <w:pStyle w:val="TableContents"/>
              <w:bidi w:val="0"/>
              <w:spacing w:before="0" w:after="0"/>
              <w:jc w:val="right"/>
              <w:rPr>
                <w:color w:val="000000"/>
              </w:rPr>
            </w:pPr>
            <w:r>
              <w:rPr>
                <w:color w:val="000000"/>
              </w:rPr>
              <w:t>824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b/>
                <w:color w:val="000000"/>
              </w:rPr>
            </w:pPr>
            <w:r>
              <w:rPr>
                <w:b/>
                <w:color w:val="000000"/>
              </w:rPr>
              <w:t>$</w:t>
            </w:r>
          </w:p>
        </w:tc>
        <w:tc>
          <w:tcPr>
            <w:tcW w:w="1288" w:type="dxa"/>
            <w:tcBorders/>
            <w:shd w:fill="CCEEFF" w:val="clear"/>
            <w:vAlign w:val="bottom"/>
          </w:tcPr>
          <w:p>
            <w:pPr>
              <w:pStyle w:val="TableContents"/>
              <w:bidi w:val="0"/>
              <w:spacing w:before="0" w:after="0"/>
              <w:jc w:val="right"/>
              <w:rPr>
                <w:b/>
                <w:color w:val="000000"/>
              </w:rPr>
            </w:pPr>
            <w:r>
              <w:rPr>
                <w:b/>
                <w:color w:val="000000"/>
              </w:rPr>
              <w:t>1,588</w:t>
            </w:r>
          </w:p>
        </w:tc>
        <w:tc>
          <w:tcPr>
            <w:tcW w:w="19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0"/>
              <w:jc w:val="left"/>
              <w:rPr>
                <w:color w:val="000000"/>
              </w:rPr>
            </w:pPr>
            <w:r>
              <w:rPr>
                <w:color w:val="000000"/>
              </w:rPr>
              <w:t>$</w:t>
            </w:r>
          </w:p>
        </w:tc>
        <w:tc>
          <w:tcPr>
            <w:tcW w:w="1228" w:type="dxa"/>
            <w:tcBorders/>
            <w:shd w:fill="CCEEFF" w:val="clear"/>
            <w:vAlign w:val="bottom"/>
          </w:tcPr>
          <w:p>
            <w:pPr>
              <w:pStyle w:val="TableContents"/>
              <w:bidi w:val="0"/>
              <w:spacing w:before="0" w:after="0"/>
              <w:jc w:val="right"/>
              <w:rPr>
                <w:color w:val="000000"/>
              </w:rPr>
            </w:pPr>
            <w:r>
              <w:rPr>
                <w:color w:val="000000"/>
              </w:rPr>
              <w:t>1,526</w:t>
            </w:r>
          </w:p>
        </w:tc>
        <w:tc>
          <w:tcPr>
            <w:tcW w:w="96"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144" w:right="0" w:hanging="144"/>
              <w:jc w:val="left"/>
              <w:rPr/>
            </w:pPr>
            <w:r>
              <w:rPr/>
              <w:t>Cost of goods sold</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0"/>
              <w:jc w:val="right"/>
              <w:rPr>
                <w:b/>
                <w:color w:val="000000"/>
              </w:rPr>
            </w:pPr>
            <w:r>
              <w:rPr>
                <w:b/>
                <w:color w:val="000000"/>
              </w:rPr>
              <w:t>701</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736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b/>
                <w:color w:val="000000"/>
              </w:rPr>
            </w:pPr>
            <w:r>
              <w:rPr>
                <w:b/>
                <w:color w:val="000000"/>
              </w:rPr>
              <w:t>1,396</w:t>
            </w:r>
          </w:p>
        </w:tc>
        <w:tc>
          <w:tcPr>
            <w:tcW w:w="19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1,367</w:t>
            </w:r>
          </w:p>
        </w:tc>
        <w:tc>
          <w:tcPr>
            <w:tcW w:w="96"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44" w:right="0" w:hanging="144"/>
              <w:jc w:val="left"/>
              <w:rPr/>
            </w:pPr>
            <w:r>
              <w:rPr/>
              <w:t>Selling, general and administrative</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0"/>
              <w:jc w:val="right"/>
              <w:rPr>
                <w:b/>
                <w:color w:val="000000"/>
              </w:rPr>
            </w:pPr>
            <w:r>
              <w:rPr>
                <w:b/>
                <w:color w:val="000000"/>
              </w:rPr>
              <w:t>50</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b/>
                <w:color w:val="000000"/>
              </w:rPr>
            </w:pPr>
            <w:r>
              <w:rPr>
                <w:b/>
                <w:color w:val="000000"/>
              </w:rPr>
              <w:t>100</w:t>
            </w:r>
          </w:p>
        </w:tc>
        <w:tc>
          <w:tcPr>
            <w:tcW w:w="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94</w:t>
            </w:r>
          </w:p>
        </w:tc>
        <w:tc>
          <w:tcPr>
            <w:tcW w:w="96"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144" w:right="0" w:hanging="144"/>
              <w:jc w:val="left"/>
              <w:rPr/>
            </w:pPr>
            <w:r>
              <w:rPr/>
              <w:t>Amortization of intangibles</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0"/>
              <w:jc w:val="right"/>
              <w:rPr>
                <w:b/>
                <w:color w:val="000000"/>
              </w:rPr>
            </w:pPr>
            <w:r>
              <w:rPr>
                <w:b/>
                <w:color w:val="000000"/>
              </w:rPr>
              <w:t>12</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b/>
                <w:color w:val="000000"/>
              </w:rPr>
            </w:pPr>
            <w:r>
              <w:rPr>
                <w:b/>
                <w:color w:val="000000"/>
              </w:rPr>
              <w:t>23</w:t>
            </w:r>
          </w:p>
        </w:tc>
        <w:tc>
          <w:tcPr>
            <w:tcW w:w="19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28</w:t>
            </w:r>
          </w:p>
        </w:tc>
        <w:tc>
          <w:tcPr>
            <w:tcW w:w="96" w:type="dxa"/>
            <w:tcBorders/>
            <w:shd w:fill="CCEEFF" w:val="clear"/>
            <w:vAlign w:val="bottom"/>
          </w:tcPr>
          <w:p>
            <w:pPr>
              <w:pStyle w:val="TableContents"/>
              <w:bidi w:val="0"/>
              <w:spacing w:before="0" w:after="283"/>
              <w:jc w:val="left"/>
              <w:rPr/>
            </w:pPr>
            <w:r>
              <w:rPr/>
              <w:t> </w:t>
            </w:r>
          </w:p>
        </w:tc>
      </w:tr>
      <w:tr>
        <w:trPr/>
        <w:tc>
          <w:tcPr>
            <w:tcW w:w="3050" w:type="dxa"/>
            <w:tcBorders>
              <w:bottom w:val="single" w:sz="12" w:space="0" w:color="000000"/>
            </w:tcBorders>
            <w:tcMar>
              <w:bottom w:w="28" w:type="dxa"/>
            </w:tcMar>
            <w:vAlign w:val="bottom"/>
          </w:tcPr>
          <w:p>
            <w:pPr>
              <w:pStyle w:val="TableContents"/>
              <w:bidi w:val="0"/>
              <w:spacing w:before="0" w:after="0"/>
              <w:ind w:left="144" w:right="0" w:hanging="144"/>
              <w:jc w:val="left"/>
              <w:rPr/>
            </w:pPr>
            <w:r>
              <w:rPr/>
              <w:t>Restructuring and other activities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2"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16</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94" w:type="dxa"/>
            <w:tcBorders>
              <w:bottom w:val="single" w:sz="12" w:space="0" w:color="000000"/>
            </w:tcBorders>
            <w:tcMar>
              <w:bottom w:w="28" w:type="dxa"/>
            </w:tcMar>
            <w:vAlign w:val="bottom"/>
          </w:tcPr>
          <w:p>
            <w:pPr>
              <w:pStyle w:val="TableContents"/>
              <w:bidi w:val="0"/>
              <w:spacing w:before="0" w:after="283"/>
              <w:jc w:val="left"/>
              <w:rPr/>
            </w:pPr>
            <w:r>
              <w:rPr/>
              <w:t> </w:t>
            </w:r>
          </w:p>
        </w:tc>
        <w:tc>
          <w:tcPr>
            <w:tcW w:w="3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38</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3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w:t>
            </w:r>
          </w:p>
        </w:tc>
        <w:tc>
          <w:tcPr>
            <w:tcW w:w="96"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144" w:right="0" w:hanging="144"/>
              <w:jc w:val="left"/>
              <w:rPr/>
            </w:pPr>
            <w:r>
              <w:rPr/>
              <w:t>Operating income (loss)</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0"/>
              <w:jc w:val="right"/>
              <w:rPr>
                <w:b/>
                <w:color w:val="000000"/>
              </w:rPr>
            </w:pPr>
            <w:r>
              <w:rPr>
                <w:b/>
                <w:color w:val="000000"/>
              </w:rPr>
              <w:t>17</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b/>
                <w:color w:val="000000"/>
              </w:rPr>
            </w:pPr>
            <w:r>
              <w:rPr>
                <w:b/>
                <w:color w:val="000000"/>
              </w:rPr>
              <w:t>31</w:t>
            </w:r>
          </w:p>
        </w:tc>
        <w:tc>
          <w:tcPr>
            <w:tcW w:w="19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(18</w:t>
            </w:r>
          </w:p>
        </w:tc>
        <w:tc>
          <w:tcPr>
            <w:tcW w:w="96" w:type="dxa"/>
            <w:tcBorders/>
            <w:shd w:fill="CCEEFF" w:val="clear"/>
            <w:vAlign w:val="bottom"/>
          </w:tcPr>
          <w:p>
            <w:pPr>
              <w:pStyle w:val="TableContents"/>
              <w:bidi w:val="0"/>
              <w:spacing w:before="0" w:after="0"/>
              <w:jc w:val="left"/>
              <w:rPr>
                <w:color w:val="000000"/>
              </w:rPr>
            </w:pPr>
            <w:r>
              <w:rPr>
                <w:color w:val="000000"/>
              </w:rPr>
              <w:t>)</w:t>
            </w:r>
          </w:p>
        </w:tc>
      </w:tr>
      <w:tr>
        <w:trPr/>
        <w:tc>
          <w:tcPr>
            <w:tcW w:w="3050" w:type="dxa"/>
            <w:tcBorders/>
            <w:vAlign w:val="bottom"/>
          </w:tcPr>
          <w:p>
            <w:pPr>
              <w:pStyle w:val="TableContents"/>
              <w:bidi w:val="0"/>
              <w:spacing w:before="0" w:after="0"/>
              <w:ind w:left="144" w:right="0" w:hanging="144"/>
              <w:jc w:val="left"/>
              <w:rPr/>
            </w:pPr>
            <w:r>
              <w:rPr/>
              <w:t>Other expense (income)</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0"/>
              <w:jc w:val="right"/>
              <w:rPr>
                <w:b/>
                <w:color w:val="000000"/>
              </w:rPr>
            </w:pPr>
            <w:r>
              <w:rPr>
                <w:b/>
                <w:color w:val="000000"/>
              </w:rPr>
              <w:t>(1</w:t>
            </w:r>
          </w:p>
        </w:tc>
        <w:tc>
          <w:tcPr>
            <w:tcW w:w="150" w:type="dxa"/>
            <w:tcBorders/>
            <w:vAlign w:val="bottom"/>
          </w:tcPr>
          <w:p>
            <w:pPr>
              <w:pStyle w:val="TableContents"/>
              <w:bidi w:val="0"/>
              <w:spacing w:before="0" w:after="0"/>
              <w:jc w:val="left"/>
              <w:rPr>
                <w:b/>
                <w:color w:val="000000"/>
              </w:rPr>
            </w:pPr>
            <w:r>
              <w:rPr>
                <w:b/>
                <w:color w:val="000000"/>
              </w:rPr>
              <w:t>)</w:t>
            </w:r>
          </w:p>
        </w:tc>
        <w:tc>
          <w:tcPr>
            <w:tcW w:w="9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b/>
                <w:color w:val="000000"/>
              </w:rPr>
            </w:pPr>
            <w:r>
              <w:rPr>
                <w:b/>
                <w:color w:val="000000"/>
              </w:rPr>
              <w:t>2</w:t>
            </w:r>
          </w:p>
        </w:tc>
        <w:tc>
          <w:tcPr>
            <w:tcW w:w="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26</w:t>
            </w:r>
          </w:p>
        </w:tc>
        <w:tc>
          <w:tcPr>
            <w:tcW w:w="96" w:type="dxa"/>
            <w:tcBorders/>
            <w:vAlign w:val="bottom"/>
          </w:tcPr>
          <w:p>
            <w:pPr>
              <w:pStyle w:val="TableContents"/>
              <w:bidi w:val="0"/>
              <w:spacing w:before="0" w:after="283"/>
              <w:jc w:val="left"/>
              <w:rPr/>
            </w:pPr>
            <w:r>
              <w:rPr/>
              <w:t> </w:t>
            </w:r>
          </w:p>
        </w:tc>
      </w:tr>
      <w:tr>
        <w:trPr/>
        <w:tc>
          <w:tcPr>
            <w:tcW w:w="305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pPr>
            <w:r>
              <w:rPr/>
              <w:t>Interest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35</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75</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65</w:t>
            </w:r>
          </w:p>
        </w:tc>
        <w:tc>
          <w:tcPr>
            <w:tcW w:w="96"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44" w:right="0" w:hanging="144"/>
              <w:jc w:val="left"/>
              <w:rPr/>
            </w:pPr>
            <w:r>
              <w:rPr/>
              <w:t>Income (loss) before income taxes</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0"/>
              <w:jc w:val="right"/>
              <w:rPr>
                <w:b/>
                <w:color w:val="000000"/>
              </w:rPr>
            </w:pPr>
            <w:r>
              <w:rPr>
                <w:b/>
                <w:color w:val="000000"/>
              </w:rPr>
              <w:t>(17</w:t>
            </w:r>
          </w:p>
        </w:tc>
        <w:tc>
          <w:tcPr>
            <w:tcW w:w="150" w:type="dxa"/>
            <w:tcBorders/>
            <w:vAlign w:val="bottom"/>
          </w:tcPr>
          <w:p>
            <w:pPr>
              <w:pStyle w:val="TableContents"/>
              <w:bidi w:val="0"/>
              <w:spacing w:before="0" w:after="0"/>
              <w:jc w:val="left"/>
              <w:rPr>
                <w:b/>
                <w:color w:val="000000"/>
              </w:rPr>
            </w:pPr>
            <w:r>
              <w:rPr>
                <w:b/>
                <w:color w:val="000000"/>
              </w:rPr>
              <w:t>)</w:t>
            </w:r>
          </w:p>
        </w:tc>
        <w:tc>
          <w:tcPr>
            <w:tcW w:w="9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(40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b/>
                <w:color w:val="000000"/>
              </w:rPr>
            </w:pPr>
            <w:r>
              <w:rPr>
                <w:b/>
                <w:color w:val="000000"/>
              </w:rPr>
              <w:t>(46</w:t>
            </w:r>
          </w:p>
        </w:tc>
        <w:tc>
          <w:tcPr>
            <w:tcW w:w="190" w:type="dxa"/>
            <w:tcBorders/>
            <w:vAlign w:val="bottom"/>
          </w:tcPr>
          <w:p>
            <w:pPr>
              <w:pStyle w:val="TableContents"/>
              <w:bidi w:val="0"/>
              <w:spacing w:before="0" w:after="0"/>
              <w:jc w:val="left"/>
              <w:rPr>
                <w:b/>
                <w:color w:val="000000"/>
              </w:rPr>
            </w:pPr>
            <w:r>
              <w:rPr>
                <w:b/>
                <w:color w:val="000000"/>
              </w:rPr>
              <w:t>)</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(109</w:t>
            </w:r>
          </w:p>
        </w:tc>
        <w:tc>
          <w:tcPr>
            <w:tcW w:w="96" w:type="dxa"/>
            <w:tcBorders/>
            <w:vAlign w:val="bottom"/>
          </w:tcPr>
          <w:p>
            <w:pPr>
              <w:pStyle w:val="TableContents"/>
              <w:bidi w:val="0"/>
              <w:spacing w:before="0" w:after="0"/>
              <w:jc w:val="left"/>
              <w:rPr>
                <w:color w:val="000000"/>
              </w:rPr>
            </w:pPr>
            <w:r>
              <w:rPr>
                <w:color w:val="000000"/>
              </w:rPr>
              <w:t>)</w:t>
            </w:r>
          </w:p>
        </w:tc>
      </w:tr>
      <w:tr>
        <w:trPr/>
        <w:tc>
          <w:tcPr>
            <w:tcW w:w="305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pPr>
            <w:r>
              <w:rPr/>
              <w:t>Income tax (benefit)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6</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w:t>
            </w:r>
          </w:p>
        </w:tc>
        <w:tc>
          <w:tcPr>
            <w:tcW w:w="96" w:type="dxa"/>
            <w:tcBorders/>
            <w:shd w:fill="CCEEFF" w:val="clear"/>
            <w:vAlign w:val="bottom"/>
          </w:tcPr>
          <w:p>
            <w:pPr>
              <w:pStyle w:val="TableContents"/>
              <w:bidi w:val="0"/>
              <w:spacing w:before="0" w:after="0"/>
              <w:jc w:val="left"/>
              <w:rPr>
                <w:color w:val="000000"/>
              </w:rPr>
            </w:pPr>
            <w:r>
              <w:rPr>
                <w:color w:val="000000"/>
              </w:rPr>
              <w:t>)</w:t>
            </w:r>
          </w:p>
        </w:tc>
      </w:tr>
      <w:tr>
        <w:trPr/>
        <w:tc>
          <w:tcPr>
            <w:tcW w:w="3050" w:type="dxa"/>
            <w:tcBorders>
              <w:bottom w:val="single" w:sz="12" w:space="0" w:color="000000"/>
            </w:tcBorders>
            <w:tcMar>
              <w:bottom w:w="28" w:type="dxa"/>
            </w:tcMar>
            <w:vAlign w:val="bottom"/>
          </w:tcPr>
          <w:p>
            <w:pPr>
              <w:pStyle w:val="TableContents"/>
              <w:bidi w:val="0"/>
              <w:spacing w:before="0" w:after="0"/>
              <w:ind w:left="144" w:right="0" w:hanging="144"/>
              <w:jc w:val="left"/>
              <w:rPr/>
            </w:pPr>
            <w:r>
              <w:rPr/>
              <w:t>Net income (loss)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222"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(18</w:t>
            </w:r>
          </w:p>
        </w:tc>
        <w:tc>
          <w:tcPr>
            <w:tcW w:w="15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94" w:type="dxa"/>
            <w:tcBorders>
              <w:bottom w:val="single" w:sz="12" w:space="0" w:color="000000"/>
            </w:tcBorders>
            <w:tcMar>
              <w:bottom w:w="28" w:type="dxa"/>
            </w:tcMar>
            <w:vAlign w:val="bottom"/>
          </w:tcPr>
          <w:p>
            <w:pPr>
              <w:pStyle w:val="TableContents"/>
              <w:bidi w:val="0"/>
              <w:spacing w:before="0" w:after="283"/>
              <w:jc w:val="left"/>
              <w:rPr/>
            </w:pPr>
            <w:r>
              <w:rPr/>
              <w:t> </w:t>
            </w:r>
          </w:p>
        </w:tc>
        <w:tc>
          <w:tcPr>
            <w:tcW w:w="328"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322"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288"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(52</w:t>
            </w:r>
          </w:p>
        </w:tc>
        <w:tc>
          <w:tcPr>
            <w:tcW w:w="19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30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w:t>
            </w:r>
          </w:p>
        </w:tc>
        <w:tc>
          <w:tcPr>
            <w:tcW w:w="96" w:type="dxa"/>
            <w:tcBorders/>
            <w:vAlign w:val="bottom"/>
          </w:tcPr>
          <w:p>
            <w:pPr>
              <w:pStyle w:val="TableContents"/>
              <w:bidi w:val="0"/>
              <w:spacing w:before="0" w:after="0"/>
              <w:jc w:val="left"/>
              <w:rPr>
                <w:color w:val="000000"/>
              </w:rPr>
            </w:pPr>
            <w:r>
              <w:rPr>
                <w:color w:val="000000"/>
              </w:rPr>
              <w:t>)</w:t>
            </w:r>
          </w:p>
        </w:tc>
      </w:tr>
      <w:tr>
        <w:trPr/>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44" w:right="0" w:hanging="144"/>
              <w:jc w:val="left"/>
              <w:rPr/>
            </w:pPr>
            <w:r>
              <w:rPr/>
              <w:t>Basic and diluted net income per share</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0"/>
              <w:jc w:val="left"/>
              <w:rPr>
                <w:b/>
                <w:sz w:val="20"/>
              </w:rPr>
            </w:pPr>
            <w:r>
              <w:rPr>
                <w:b/>
                <w:sz w:val="20"/>
              </w:rPr>
              <w:t>$</w:t>
            </w:r>
          </w:p>
        </w:tc>
        <w:tc>
          <w:tcPr>
            <w:tcW w:w="1222" w:type="dxa"/>
            <w:tcBorders/>
            <w:vAlign w:val="bottom"/>
          </w:tcPr>
          <w:p>
            <w:pPr>
              <w:pStyle w:val="TableContents"/>
              <w:bidi w:val="0"/>
              <w:spacing w:before="0" w:after="0"/>
              <w:jc w:val="right"/>
              <w:rPr>
                <w:b/>
                <w:sz w:val="20"/>
              </w:rPr>
            </w:pPr>
            <w:r>
              <w:rPr>
                <w:b/>
                <w:sz w:val="20"/>
              </w:rPr>
              <w:t>(0.50</w:t>
            </w:r>
          </w:p>
        </w:tc>
        <w:tc>
          <w:tcPr>
            <w:tcW w:w="150" w:type="dxa"/>
            <w:tcBorders/>
            <w:vAlign w:val="bottom"/>
          </w:tcPr>
          <w:p>
            <w:pPr>
              <w:pStyle w:val="TableContents"/>
              <w:bidi w:val="0"/>
              <w:spacing w:before="0" w:after="0"/>
              <w:jc w:val="left"/>
              <w:rPr>
                <w:b/>
                <w:sz w:val="20"/>
              </w:rPr>
            </w:pPr>
            <w:r>
              <w:rPr>
                <w:b/>
                <w:sz w:val="20"/>
              </w:rPr>
              <w:t>)</w:t>
            </w:r>
          </w:p>
        </w:tc>
        <w:tc>
          <w:tcPr>
            <w:tcW w:w="9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0"/>
              <w:jc w:val="left"/>
              <w:rPr>
                <w:color w:val="000000"/>
              </w:rPr>
            </w:pPr>
            <w:r>
              <w:rPr>
                <w:color w:val="000000"/>
              </w:rPr>
              <w:t>$</w:t>
            </w:r>
          </w:p>
        </w:tc>
        <w:tc>
          <w:tcPr>
            <w:tcW w:w="1207" w:type="dxa"/>
            <w:tcBorders/>
            <w:vAlign w:val="bottom"/>
          </w:tcPr>
          <w:p>
            <w:pPr>
              <w:pStyle w:val="TableContents"/>
              <w:bidi w:val="0"/>
              <w:spacing w:before="0" w:after="0"/>
              <w:jc w:val="right"/>
              <w:rPr>
                <w:color w:val="000000"/>
              </w:rPr>
            </w:pPr>
            <w:r>
              <w:rPr>
                <w:color w:val="000000"/>
              </w:rPr>
              <w:t>(1.15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0"/>
              <w:jc w:val="left"/>
              <w:rPr>
                <w:b/>
              </w:rPr>
            </w:pPr>
            <w:r>
              <w:rPr>
                <w:b/>
              </w:rPr>
              <w:t>$</w:t>
            </w:r>
          </w:p>
        </w:tc>
        <w:tc>
          <w:tcPr>
            <w:tcW w:w="1288" w:type="dxa"/>
            <w:tcBorders/>
            <w:vAlign w:val="bottom"/>
          </w:tcPr>
          <w:p>
            <w:pPr>
              <w:pStyle w:val="TableContents"/>
              <w:bidi w:val="0"/>
              <w:spacing w:before="0" w:after="0"/>
              <w:jc w:val="right"/>
              <w:rPr>
                <w:b/>
              </w:rPr>
            </w:pPr>
            <w:r>
              <w:rPr>
                <w:b/>
              </w:rPr>
              <w:t>(1.45</w:t>
            </w:r>
          </w:p>
        </w:tc>
        <w:tc>
          <w:tcPr>
            <w:tcW w:w="190" w:type="dxa"/>
            <w:tcBorders/>
            <w:vAlign w:val="bottom"/>
          </w:tcPr>
          <w:p>
            <w:pPr>
              <w:pStyle w:val="TableContents"/>
              <w:bidi w:val="0"/>
              <w:spacing w:before="0" w:after="0"/>
              <w:jc w:val="left"/>
              <w:rPr>
                <w:b/>
              </w:rPr>
            </w:pPr>
            <w:r>
              <w:rPr>
                <w:b/>
              </w:rPr>
              <w:t>)</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0"/>
              <w:jc w:val="left"/>
              <w:rPr>
                <w:color w:val="000000"/>
              </w:rPr>
            </w:pPr>
            <w:r>
              <w:rPr>
                <w:color w:val="000000"/>
              </w:rPr>
              <w:t>$</w:t>
            </w:r>
          </w:p>
        </w:tc>
        <w:tc>
          <w:tcPr>
            <w:tcW w:w="1228" w:type="dxa"/>
            <w:tcBorders/>
            <w:vAlign w:val="bottom"/>
          </w:tcPr>
          <w:p>
            <w:pPr>
              <w:pStyle w:val="TableContents"/>
              <w:bidi w:val="0"/>
              <w:spacing w:before="0" w:after="0"/>
              <w:jc w:val="right"/>
              <w:rPr>
                <w:color w:val="000000"/>
              </w:rPr>
            </w:pPr>
            <w:r>
              <w:rPr>
                <w:color w:val="000000"/>
              </w:rPr>
              <w:t>(2.85</w:t>
            </w:r>
          </w:p>
        </w:tc>
        <w:tc>
          <w:tcPr>
            <w:tcW w:w="96" w:type="dxa"/>
            <w:tcBorders/>
            <w:vAlign w:val="bottom"/>
          </w:tcPr>
          <w:p>
            <w:pPr>
              <w:pStyle w:val="TableContents"/>
              <w:bidi w:val="0"/>
              <w:spacing w:before="0" w:after="0"/>
              <w:jc w:val="left"/>
              <w:rPr>
                <w:color w:val="000000"/>
              </w:rPr>
            </w:pPr>
            <w:r>
              <w:rPr>
                <w:color w:val="000000"/>
              </w:rPr>
              <w:t>)</w:t>
            </w:r>
          </w:p>
        </w:tc>
      </w:tr>
      <w:tr>
        <w:trPr/>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44" w:right="0" w:hanging="144"/>
              <w:jc w:val="left"/>
              <w:rPr>
                <w:sz w:val="16"/>
              </w:rPr>
            </w:pPr>
            <w:r>
              <w:rPr>
                <w:b/>
                <w:sz w:val="20"/>
              </w:rPr>
              <w:t>Outstanding weighted average shares</w:t>
            </w:r>
            <w:r>
              <w:rPr>
                <w:sz w:val="16"/>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144" w:right="0" w:hanging="144"/>
              <w:jc w:val="left"/>
              <w:rPr/>
            </w:pPr>
            <w:r>
              <w:rPr/>
              <w:t xml:space="preserve">Basic and diluted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0"/>
              <w:jc w:val="right"/>
              <w:rPr>
                <w:b/>
                <w:sz w:val="20"/>
              </w:rPr>
            </w:pPr>
            <w:r>
              <w:rPr>
                <w:b/>
                <w:sz w:val="20"/>
              </w:rPr>
              <w:t>35.9</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35.6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b/>
              </w:rPr>
            </w:pPr>
            <w:r>
              <w:rPr>
                <w:b/>
              </w:rPr>
              <w:t>35.8</w:t>
            </w:r>
          </w:p>
        </w:tc>
        <w:tc>
          <w:tcPr>
            <w:tcW w:w="19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35.5</w:t>
            </w:r>
          </w:p>
        </w:tc>
        <w:tc>
          <w:tcPr>
            <w:tcW w:w="9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and Combined Statements of Cash Flows (Unaudited)</w:t>
      </w:r>
    </w:p>
    <w:p>
      <w:pPr>
        <w:pStyle w:val="Normal"/>
        <w:bidi w:val="0"/>
        <w:spacing w:before="0" w:after="0"/>
        <w:jc w:val="left"/>
        <w:rPr>
          <w:sz w:val="4"/>
          <w:szCs w:val="4"/>
        </w:rPr>
      </w:pPr>
      <w:r>
        <w:rPr>
          <w:sz w:val="4"/>
          <w:szCs w:val="4"/>
        </w:rPr>
      </w:r>
      <w:bookmarkStart w:id="26" w:name="z81247ebc09e440e2b16eca8ef2b50624"/>
      <w:bookmarkStart w:id="27" w:name="z81247ebc09e440e2b16eca8ef2b50624"/>
      <w:bookmarkEnd w:id="27"/>
    </w:p>
    <w:tbl>
      <w:tblPr>
        <w:tblW w:w="8412" w:type="dxa"/>
        <w:jc w:val="center"/>
        <w:tblInd w:w="0" w:type="dxa"/>
        <w:tblLayout w:type="fixed"/>
        <w:tblCellMar>
          <w:top w:w="0" w:type="dxa"/>
          <w:left w:w="0" w:type="dxa"/>
          <w:bottom w:w="0" w:type="dxa"/>
          <w:right w:w="0" w:type="dxa"/>
        </w:tblCellMar>
      </w:tblPr>
      <w:tblGrid>
        <w:gridCol w:w="4655"/>
        <w:gridCol w:w="60"/>
        <w:gridCol w:w="433"/>
        <w:gridCol w:w="1177"/>
        <w:gridCol w:w="203"/>
        <w:gridCol w:w="128"/>
        <w:gridCol w:w="300"/>
        <w:gridCol w:w="1361"/>
        <w:gridCol w:w="95"/>
      </w:tblGrid>
      <w:tr>
        <w:trPr/>
        <w:tc>
          <w:tcPr>
            <w:tcW w:w="4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2" w:type="dxa"/>
            <w:gridSpan w:val="6"/>
            <w:tcBorders>
              <w:bottom w:val="single" w:sz="12" w:space="0" w:color="000000"/>
            </w:tcBorders>
            <w:tcMar>
              <w:bottom w:w="28" w:type="dxa"/>
            </w:tcMar>
            <w:vAlign w:val="bottom"/>
          </w:tcPr>
          <w:p>
            <w:pPr>
              <w:pStyle w:val="TableContents"/>
              <w:bidi w:val="0"/>
              <w:spacing w:before="0" w:after="0"/>
              <w:jc w:val="center"/>
              <w:rPr>
                <w:b/>
              </w:rPr>
            </w:pPr>
            <w:r>
              <w:rPr>
                <w:b/>
              </w:rPr>
              <w:t>Two Quarterly Periods Ended</w:t>
            </w:r>
          </w:p>
        </w:tc>
        <w:tc>
          <w:tcPr>
            <w:tcW w:w="95" w:type="dxa"/>
            <w:tcBorders/>
            <w:vAlign w:val="bottom"/>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bottom"/>
          </w:tcPr>
          <w:p>
            <w:pPr>
              <w:pStyle w:val="TableContents"/>
              <w:bidi w:val="0"/>
              <w:spacing w:before="0" w:after="0"/>
              <w:ind w:left="144" w:right="0" w:hanging="144"/>
              <w:jc w:val="left"/>
              <w:rPr>
                <w:i/>
              </w:rPr>
            </w:pPr>
            <w:r>
              <w:rPr>
                <w:i/>
              </w:rPr>
              <w:t>(in millions)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28, 2026</w:t>
            </w:r>
          </w:p>
        </w:tc>
        <w:tc>
          <w:tcPr>
            <w:tcW w:w="20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28"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661" w:type="dxa"/>
            <w:gridSpan w:val="2"/>
            <w:tcBorders>
              <w:bottom w:val="single" w:sz="12" w:space="0" w:color="000000"/>
            </w:tcBorders>
            <w:tcMar>
              <w:bottom w:w="28" w:type="dxa"/>
            </w:tcMar>
            <w:vAlign w:val="bottom"/>
          </w:tcPr>
          <w:p>
            <w:pPr>
              <w:pStyle w:val="TableContents"/>
              <w:bidi w:val="0"/>
              <w:spacing w:before="0" w:after="0"/>
              <w:jc w:val="center"/>
              <w:rPr/>
            </w:pPr>
            <w:r>
              <w:rPr/>
              <w:t>March 29, 2025</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ind w:left="324" w:right="0" w:hanging="144"/>
              <w:jc w:val="left"/>
              <w:rPr>
                <w:b/>
                <w:color w:val="000000"/>
              </w:rPr>
            </w:pPr>
            <w:r>
              <w:rPr>
                <w:b/>
                <w:color w:val="000000"/>
              </w:rPr>
              <w:t>Net cash from operating activities</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b/>
                <w:color w:val="000000"/>
              </w:rPr>
            </w:pPr>
            <w:r>
              <w:rPr>
                <w:b/>
                <w:color w:val="000000"/>
              </w:rPr>
              <w:t>89</w:t>
            </w:r>
          </w:p>
        </w:tc>
        <w:tc>
          <w:tcPr>
            <w:tcW w:w="20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0"/>
              <w:jc w:val="right"/>
              <w:rPr>
                <w:color w:val="000000"/>
              </w:rPr>
            </w:pPr>
            <w:r>
              <w:rPr>
                <w:color w:val="000000"/>
              </w:rPr>
              <w:t>7</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ind w:left="144" w:right="0" w:hanging="144"/>
              <w:jc w:val="left"/>
              <w:rPr>
                <w:b/>
                <w:color w:val="000000"/>
              </w:rPr>
            </w:pPr>
            <w:r>
              <w:rPr>
                <w:b/>
                <w:color w:val="00000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0"/>
              <w:ind w:left="144" w:right="0" w:hanging="144"/>
              <w:jc w:val="left"/>
              <w:rPr>
                <w:color w:val="000000"/>
              </w:rPr>
            </w:pPr>
            <w:r>
              <w:rPr>
                <w:color w:val="000000"/>
              </w:rPr>
              <w:t>Additions to property, plant, and equipment, net</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0"/>
              <w:jc w:val="right"/>
              <w:rPr>
                <w:b/>
                <w:color w:val="000000"/>
              </w:rPr>
            </w:pPr>
            <w:r>
              <w:rPr>
                <w:b/>
                <w:color w:val="000000"/>
              </w:rPr>
              <w:t>(29</w:t>
            </w:r>
          </w:p>
        </w:tc>
        <w:tc>
          <w:tcPr>
            <w:tcW w:w="203" w:type="dxa"/>
            <w:tcBorders/>
            <w:vAlign w:val="bottom"/>
          </w:tcPr>
          <w:p>
            <w:pPr>
              <w:pStyle w:val="TableContents"/>
              <w:bidi w:val="0"/>
              <w:spacing w:before="0" w:after="0"/>
              <w:jc w:val="left"/>
              <w:rPr>
                <w:b/>
                <w:color w:val="000000"/>
              </w:rPr>
            </w:pPr>
            <w:r>
              <w:rPr>
                <w:b/>
                <w:color w:val="000000"/>
              </w:rPr>
              <w:t>)</w:t>
            </w:r>
          </w:p>
        </w:tc>
        <w:tc>
          <w:tcPr>
            <w:tcW w:w="12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0"/>
              <w:jc w:val="right"/>
              <w:rPr>
                <w:color w:val="000000"/>
              </w:rPr>
            </w:pPr>
            <w:r>
              <w:rPr>
                <w:color w:val="000000"/>
              </w:rPr>
              <w:t>(39</w:t>
            </w:r>
          </w:p>
        </w:tc>
        <w:tc>
          <w:tcPr>
            <w:tcW w:w="95" w:type="dxa"/>
            <w:tcBorders/>
            <w:vAlign w:val="bottom"/>
          </w:tcPr>
          <w:p>
            <w:pPr>
              <w:pStyle w:val="TableContents"/>
              <w:bidi w:val="0"/>
              <w:spacing w:before="0" w:after="0"/>
              <w:jc w:val="left"/>
              <w:rPr>
                <w:color w:val="000000"/>
              </w:rPr>
            </w:pPr>
            <w:r>
              <w:rPr>
                <w:color w:val="000000"/>
              </w:rPr>
              <w:t>)</w:t>
            </w:r>
          </w:p>
        </w:tc>
      </w:tr>
      <w:tr>
        <w:trPr/>
        <w:tc>
          <w:tcPr>
            <w:tcW w:w="4655" w:type="dxa"/>
            <w:tcBorders/>
            <w:shd w:fill="CCEEFF" w:val="clear"/>
            <w:vAlign w:val="bottom"/>
          </w:tcPr>
          <w:p>
            <w:pPr>
              <w:pStyle w:val="TableContents"/>
              <w:bidi w:val="0"/>
              <w:spacing w:before="0" w:after="0"/>
              <w:ind w:left="144" w:right="0" w:hanging="144"/>
              <w:jc w:val="left"/>
              <w:rPr>
                <w:color w:val="000000"/>
              </w:rPr>
            </w:pPr>
            <w:r>
              <w:rPr>
                <w:color w:val="000000"/>
              </w:rPr>
              <w:t>Cash acquired from GLT acquisition</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b/>
                <w:color w:val="000000"/>
              </w:rPr>
            </w:pPr>
            <w:r>
              <w:rPr>
                <w:b/>
                <w:color w:val="000000"/>
              </w:rPr>
              <w:t>-</w:t>
            </w:r>
          </w:p>
        </w:tc>
        <w:tc>
          <w:tcPr>
            <w:tcW w:w="20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0"/>
              <w:jc w:val="right"/>
              <w:rPr>
                <w:color w:val="000000"/>
              </w:rPr>
            </w:pPr>
            <w:r>
              <w:rPr>
                <w:color w:val="000000"/>
              </w:rPr>
              <w:t>37</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color w:val="000000"/>
              </w:rPr>
              <w:t>Other investing activities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ind w:left="324" w:right="0" w:hanging="144"/>
              <w:jc w:val="left"/>
              <w:rPr>
                <w:b/>
                <w:color w:val="000000"/>
              </w:rPr>
            </w:pPr>
            <w:r>
              <w:rPr>
                <w:b/>
                <w:color w:val="000000"/>
              </w:rPr>
              <w:t>Net cash from (used in) investing activities</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b/>
                <w:color w:val="000000"/>
              </w:rPr>
            </w:pPr>
            <w:r>
              <w:rPr>
                <w:b/>
                <w:color w:val="000000"/>
              </w:rPr>
              <w:t>(29</w:t>
            </w:r>
          </w:p>
        </w:tc>
        <w:tc>
          <w:tcPr>
            <w:tcW w:w="203" w:type="dxa"/>
            <w:tcBorders/>
            <w:shd w:fill="CCEEFF" w:val="clear"/>
            <w:vAlign w:val="bottom"/>
          </w:tcPr>
          <w:p>
            <w:pPr>
              <w:pStyle w:val="TableContents"/>
              <w:bidi w:val="0"/>
              <w:spacing w:before="0" w:after="0"/>
              <w:jc w:val="left"/>
              <w:rPr>
                <w:b/>
                <w:color w:val="000000"/>
              </w:rPr>
            </w:pPr>
            <w:r>
              <w:rPr>
                <w:b/>
                <w:color w:val="000000"/>
              </w:rPr>
              <w:t>)</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0"/>
              <w:jc w:val="right"/>
              <w:rPr>
                <w:color w:val="000000"/>
              </w:rPr>
            </w:pPr>
            <w:r>
              <w:rPr>
                <w:color w:val="000000"/>
              </w:rPr>
              <w:t>20</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ind w:left="144" w:right="0" w:hanging="144"/>
              <w:jc w:val="left"/>
              <w:rPr>
                <w:b/>
                <w:color w:val="000000"/>
              </w:rPr>
            </w:pPr>
            <w:r>
              <w:rPr>
                <w:b/>
                <w:color w:val="00000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0"/>
              <w:ind w:left="144" w:right="0" w:hanging="144"/>
              <w:jc w:val="left"/>
              <w:rPr>
                <w:color w:val="000000"/>
              </w:rPr>
            </w:pPr>
            <w:r>
              <w:rPr>
                <w:color w:val="000000"/>
              </w:rPr>
              <w:t>Proceeds from long-term borrowings</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0"/>
              <w:jc w:val="right"/>
              <w:rPr>
                <w:b/>
                <w:color w:val="000000"/>
              </w:rPr>
            </w:pPr>
            <w:r>
              <w:rPr>
                <w:b/>
                <w:color w:val="000000"/>
              </w:rPr>
              <w:t>-</w:t>
            </w:r>
          </w:p>
        </w:tc>
        <w:tc>
          <w:tcPr>
            <w:tcW w:w="20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0"/>
              <w:jc w:val="right"/>
              <w:rPr>
                <w:color w:val="000000"/>
              </w:rPr>
            </w:pPr>
            <w:r>
              <w:rPr>
                <w:color w:val="000000"/>
              </w:rPr>
              <w:t>1,556</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ind w:left="144" w:right="0" w:hanging="144"/>
              <w:jc w:val="left"/>
              <w:rPr>
                <w:color w:val="000000"/>
              </w:rPr>
            </w:pPr>
            <w:r>
              <w:rPr>
                <w:color w:val="000000"/>
              </w:rPr>
              <w:t>Repayments on long-term borrowings</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b/>
                <w:color w:val="000000"/>
              </w:rPr>
            </w:pPr>
            <w:r>
              <w:rPr>
                <w:b/>
                <w:color w:val="000000"/>
              </w:rPr>
              <w:t>(63</w:t>
            </w:r>
          </w:p>
        </w:tc>
        <w:tc>
          <w:tcPr>
            <w:tcW w:w="203" w:type="dxa"/>
            <w:tcBorders/>
            <w:shd w:fill="CCEEFF" w:val="clear"/>
            <w:vAlign w:val="bottom"/>
          </w:tcPr>
          <w:p>
            <w:pPr>
              <w:pStyle w:val="TableContents"/>
              <w:bidi w:val="0"/>
              <w:spacing w:before="0" w:after="0"/>
              <w:jc w:val="left"/>
              <w:rPr>
                <w:b/>
                <w:color w:val="000000"/>
              </w:rPr>
            </w:pPr>
            <w:r>
              <w:rPr>
                <w:b/>
                <w:color w:val="000000"/>
              </w:rPr>
              <w:t>)</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0"/>
              <w:jc w:val="right"/>
              <w:rPr>
                <w:color w:val="000000"/>
              </w:rPr>
            </w:pPr>
            <w:r>
              <w:rPr>
                <w:color w:val="000000"/>
              </w:rPr>
              <w:t>(432</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4655" w:type="dxa"/>
            <w:tcBorders/>
            <w:vAlign w:val="bottom"/>
          </w:tcPr>
          <w:p>
            <w:pPr>
              <w:pStyle w:val="TableContents"/>
              <w:bidi w:val="0"/>
              <w:spacing w:before="0" w:after="0"/>
              <w:ind w:left="144" w:right="0" w:hanging="144"/>
              <w:jc w:val="left"/>
              <w:rPr>
                <w:color w:val="000000"/>
              </w:rPr>
            </w:pPr>
            <w:r>
              <w:rPr>
                <w:color w:val="000000"/>
              </w:rPr>
              <w:t>Transfers from Berry, net</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0"/>
              <w:jc w:val="right"/>
              <w:rPr>
                <w:b/>
                <w:color w:val="000000"/>
              </w:rPr>
            </w:pPr>
            <w:r>
              <w:rPr>
                <w:b/>
                <w:color w:val="000000"/>
              </w:rPr>
              <w:t>-</w:t>
            </w:r>
          </w:p>
        </w:tc>
        <w:tc>
          <w:tcPr>
            <w:tcW w:w="20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0"/>
              <w:jc w:val="right"/>
              <w:rPr>
                <w:color w:val="000000"/>
              </w:rPr>
            </w:pPr>
            <w:r>
              <w:rPr>
                <w:color w:val="000000"/>
              </w:rPr>
              <w:t>34</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ind w:left="144" w:right="0" w:hanging="144"/>
              <w:jc w:val="left"/>
              <w:rPr>
                <w:color w:val="000000"/>
              </w:rPr>
            </w:pPr>
            <w:r>
              <w:rPr>
                <w:color w:val="000000"/>
              </w:rPr>
              <w:t>Cash distribution to Berry</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b/>
                <w:color w:val="000000"/>
              </w:rPr>
            </w:pPr>
            <w:r>
              <w:rPr>
                <w:b/>
                <w:color w:val="000000"/>
              </w:rPr>
              <w:t>-</w:t>
            </w:r>
          </w:p>
        </w:tc>
        <w:tc>
          <w:tcPr>
            <w:tcW w:w="20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0"/>
              <w:jc w:val="right"/>
              <w:rPr>
                <w:color w:val="000000"/>
              </w:rPr>
            </w:pPr>
            <w:r>
              <w:rPr>
                <w:color w:val="000000"/>
              </w:rPr>
              <w:t>(1,111</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4655"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color w:val="000000"/>
              </w:rPr>
              <w:t>Debt fees and other, net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w:t>
            </w:r>
          </w:p>
        </w:tc>
        <w:tc>
          <w:tcPr>
            <w:tcW w:w="95" w:type="dxa"/>
            <w:tcBorders/>
            <w:vAlign w:val="bottom"/>
          </w:tcPr>
          <w:p>
            <w:pPr>
              <w:pStyle w:val="TableContents"/>
              <w:bidi w:val="0"/>
              <w:spacing w:before="0" w:after="0"/>
              <w:jc w:val="left"/>
              <w:rPr>
                <w:color w:val="000000"/>
              </w:rPr>
            </w:pPr>
            <w:r>
              <w:rPr>
                <w:color w:val="000000"/>
              </w:rPr>
              <w:t>)</w:t>
            </w:r>
          </w:p>
        </w:tc>
      </w:tr>
      <w:tr>
        <w:trPr/>
        <w:tc>
          <w:tcPr>
            <w:tcW w:w="4655" w:type="dxa"/>
            <w:tcBorders>
              <w:bottom w:val="single" w:sz="12" w:space="0" w:color="000000"/>
            </w:tcBorders>
            <w:shd w:fill="CCEEFF" w:val="clear"/>
            <w:tcMar>
              <w:bottom w:w="28" w:type="dxa"/>
            </w:tcMar>
            <w:vAlign w:val="bottom"/>
          </w:tcPr>
          <w:p>
            <w:pPr>
              <w:pStyle w:val="TableContents"/>
              <w:bidi w:val="0"/>
              <w:spacing w:before="0" w:after="0"/>
              <w:ind w:left="324" w:right="0" w:hanging="144"/>
              <w:jc w:val="left"/>
              <w:rPr>
                <w:b/>
                <w:color w:val="000000"/>
              </w:rPr>
            </w:pPr>
            <w:r>
              <w:rPr>
                <w:b/>
                <w:color w:val="000000"/>
              </w:rPr>
              <w:t>Net cash from financing activities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(63</w:t>
            </w:r>
          </w:p>
        </w:tc>
        <w:tc>
          <w:tcPr>
            <w:tcW w:w="203"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color w:val="000000"/>
              </w:rPr>
              <w:t>Effect of currency translation on cash</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w:t>
            </w:r>
          </w:p>
        </w:tc>
        <w:tc>
          <w:tcPr>
            <w:tcW w:w="95" w:type="dxa"/>
            <w:tcBorders/>
            <w:vAlign w:val="bottom"/>
          </w:tcPr>
          <w:p>
            <w:pPr>
              <w:pStyle w:val="TableContents"/>
              <w:bidi w:val="0"/>
              <w:spacing w:before="0" w:after="0"/>
              <w:jc w:val="left"/>
              <w:rPr>
                <w:color w:val="000000"/>
              </w:rPr>
            </w:pPr>
            <w:r>
              <w:rPr>
                <w:color w:val="000000"/>
              </w:rPr>
              <w:t>)</w:t>
            </w:r>
          </w:p>
        </w:tc>
      </w:tr>
      <w:tr>
        <w:trPr/>
        <w:tc>
          <w:tcPr>
            <w:tcW w:w="4655" w:type="dxa"/>
            <w:tcBorders/>
            <w:shd w:fill="CCEEFF" w:val="clear"/>
            <w:vAlign w:val="bottom"/>
          </w:tcPr>
          <w:p>
            <w:pPr>
              <w:pStyle w:val="TableContents"/>
              <w:bidi w:val="0"/>
              <w:spacing w:before="0" w:after="0"/>
              <w:ind w:left="144" w:right="0" w:hanging="144"/>
              <w:jc w:val="left"/>
              <w:rPr>
                <w:color w:val="000000"/>
              </w:rPr>
            </w:pPr>
            <w:r>
              <w:rPr>
                <w:color w:val="000000"/>
              </w:rPr>
              <w:t>Net change in cash and cash equivalents</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b/>
                <w:color w:val="000000"/>
              </w:rPr>
            </w:pPr>
            <w:r>
              <w:rPr>
                <w:b/>
                <w:color w:val="000000"/>
              </w:rPr>
              <w:t>(2</w:t>
            </w:r>
          </w:p>
        </w:tc>
        <w:tc>
          <w:tcPr>
            <w:tcW w:w="203" w:type="dxa"/>
            <w:tcBorders/>
            <w:shd w:fill="CCEEFF" w:val="clear"/>
            <w:vAlign w:val="bottom"/>
          </w:tcPr>
          <w:p>
            <w:pPr>
              <w:pStyle w:val="TableContents"/>
              <w:bidi w:val="0"/>
              <w:spacing w:before="0" w:after="0"/>
              <w:jc w:val="left"/>
              <w:rPr>
                <w:b/>
                <w:color w:val="000000"/>
              </w:rPr>
            </w:pPr>
            <w:r>
              <w:rPr>
                <w:b/>
                <w:color w:val="000000"/>
              </w:rPr>
              <w:t>)</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0"/>
              <w:jc w:val="right"/>
              <w:rPr>
                <w:color w:val="000000"/>
              </w:rPr>
            </w:pPr>
            <w:r>
              <w:rPr>
                <w:color w:val="000000"/>
              </w:rPr>
              <w:t>52</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color w:val="000000"/>
              </w:rPr>
              <w:t>Cash and cash equivalents at beginning of period</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305</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230</w:t>
            </w:r>
          </w:p>
        </w:tc>
        <w:tc>
          <w:tcPr>
            <w:tcW w:w="95" w:type="dxa"/>
            <w:tcBorders/>
            <w:vAlign w:val="bottom"/>
          </w:tcPr>
          <w:p>
            <w:pPr>
              <w:pStyle w:val="TableContents"/>
              <w:bidi w:val="0"/>
              <w:spacing w:before="0" w:after="283"/>
              <w:jc w:val="left"/>
              <w:rPr/>
            </w:pPr>
            <w:r>
              <w:rPr/>
              <w:t> </w:t>
            </w:r>
          </w:p>
        </w:tc>
      </w:tr>
      <w:tr>
        <w:trPr/>
        <w:tc>
          <w:tcPr>
            <w:tcW w:w="4655"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b/>
                <w:color w:val="000000"/>
              </w:rPr>
            </w:pPr>
            <w:r>
              <w:rPr>
                <w:b/>
                <w:color w:val="000000"/>
              </w:rPr>
              <w:t>Cash and cash equivalents at end of period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77"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303</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left"/>
              <w:rPr/>
            </w:pPr>
            <w:r>
              <w:rPr/>
            </w:r>
          </w:p>
        </w:tc>
        <w:tc>
          <w:tcPr>
            <w:tcW w:w="20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ind w:left="0" w:right="60" w:hanging="0"/>
              <w:jc w:val="left"/>
              <w:rPr>
                <w:b/>
                <w:color w:val="000000"/>
              </w:rPr>
            </w:pPr>
            <w:r>
              <w:rPr>
                <w:b/>
                <w:color w:val="000000"/>
              </w:rPr>
              <w:t>Non-U.S. GAAP Free Cash Flow:</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left"/>
              <w:rPr/>
            </w:pPr>
            <w:r>
              <w:rPr/>
            </w:r>
          </w:p>
        </w:tc>
        <w:tc>
          <w:tcPr>
            <w:tcW w:w="20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0"/>
              <w:ind w:left="331" w:right="60" w:hanging="331"/>
              <w:jc w:val="left"/>
              <w:rPr>
                <w:color w:val="000000"/>
              </w:rPr>
            </w:pPr>
            <w:r>
              <w:rPr>
                <w:color w:val="000000"/>
              </w:rPr>
              <w:t>Net cash from operating activities</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0"/>
              <w:jc w:val="right"/>
              <w:rPr>
                <w:b/>
                <w:color w:val="000000"/>
              </w:rPr>
            </w:pPr>
            <w:r>
              <w:rPr>
                <w:b/>
                <w:color w:val="000000"/>
              </w:rPr>
              <w:t>89</w:t>
            </w:r>
          </w:p>
        </w:tc>
        <w:tc>
          <w:tcPr>
            <w:tcW w:w="20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t> </w:t>
            </w:r>
          </w:p>
        </w:tc>
      </w:tr>
      <w:tr>
        <w:trPr/>
        <w:tc>
          <w:tcPr>
            <w:tcW w:w="4655" w:type="dxa"/>
            <w:tcBorders>
              <w:bottom w:val="single" w:sz="12" w:space="0" w:color="000000"/>
            </w:tcBorders>
            <w:shd w:fill="CCEEFF" w:val="clear"/>
            <w:tcMar>
              <w:bottom w:w="28" w:type="dxa"/>
            </w:tcMar>
            <w:vAlign w:val="bottom"/>
          </w:tcPr>
          <w:p>
            <w:pPr>
              <w:pStyle w:val="TableContents"/>
              <w:bidi w:val="0"/>
              <w:spacing w:before="0" w:after="0"/>
              <w:ind w:left="331" w:right="60" w:hanging="331"/>
              <w:jc w:val="left"/>
              <w:rPr>
                <w:color w:val="000000"/>
              </w:rPr>
            </w:pPr>
            <w:r>
              <w:rPr>
                <w:color w:val="000000"/>
              </w:rPr>
              <w:t>Additions to property, plant, and equipment, net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(29</w:t>
            </w:r>
          </w:p>
        </w:tc>
        <w:tc>
          <w:tcPr>
            <w:tcW w:w="203"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bottom"/>
          </w:tcPr>
          <w:p>
            <w:pPr>
              <w:pStyle w:val="TableContents"/>
              <w:bidi w:val="0"/>
              <w:spacing w:before="0" w:after="0"/>
              <w:ind w:left="331" w:right="60" w:hanging="331"/>
              <w:jc w:val="left"/>
              <w:rPr>
                <w:b/>
                <w:color w:val="000000"/>
              </w:rPr>
            </w:pPr>
            <w:r>
              <w:rPr>
                <w:b/>
                <w:color w:val="000000"/>
              </w:rPr>
              <w:t>Free Cash Flow</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tcMar>
              <w:bottom w:w="28" w:type="dxa"/>
            </w:tcMar>
            <w:vAlign w:val="bottom"/>
          </w:tcPr>
          <w:p>
            <w:pPr>
              <w:pStyle w:val="TableContents"/>
              <w:bidi w:val="0"/>
              <w:spacing w:before="0" w:after="283"/>
              <w:jc w:val="right"/>
              <w:rPr>
                <w:b/>
              </w:rPr>
            </w:pPr>
            <w:r>
              <w:rPr>
                <w:b/>
              </w:rPr>
              <w:t>60</w:t>
            </w:r>
          </w:p>
        </w:tc>
        <w:tc>
          <w:tcPr>
            <w:tcW w:w="203" w:type="dxa"/>
            <w:tcBorders>
              <w:bottom w:val="single" w:sz="12" w:space="0" w:color="000000"/>
            </w:tcBorders>
            <w:tcMar>
              <w:bottom w:w="28" w:type="dxa"/>
            </w:tcMar>
            <w:vAlign w:val="bottom"/>
          </w:tcPr>
          <w:p>
            <w:pPr>
              <w:pStyle w:val="TableContents"/>
              <w:bidi w:val="0"/>
              <w:spacing w:before="0" w:after="283"/>
              <w:jc w:val="left"/>
              <w:rPr/>
            </w:pPr>
            <w:r>
              <w:rPr/>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3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tcMar>
              <w:bottom w:w="28" w:type="dxa"/>
            </w:tcMar>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and Combined Balance Sheets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b985007387544423b8184eb16a427fde"/>
      <w:bookmarkStart w:id="29" w:name="zb985007387544423b8184eb16a427fde"/>
      <w:bookmarkEnd w:id="29"/>
    </w:p>
    <w:tbl>
      <w:tblPr>
        <w:tblW w:w="8925" w:type="dxa"/>
        <w:jc w:val="center"/>
        <w:tblInd w:w="0" w:type="dxa"/>
        <w:tblLayout w:type="fixed"/>
        <w:tblCellMar>
          <w:top w:w="0" w:type="dxa"/>
          <w:left w:w="0" w:type="dxa"/>
          <w:bottom w:w="28" w:type="dxa"/>
          <w:right w:w="0" w:type="dxa"/>
        </w:tblCellMar>
      </w:tblPr>
      <w:tblGrid>
        <w:gridCol w:w="5150"/>
        <w:gridCol w:w="60"/>
        <w:gridCol w:w="322"/>
        <w:gridCol w:w="1288"/>
        <w:gridCol w:w="60"/>
        <w:gridCol w:w="60"/>
        <w:gridCol w:w="385"/>
        <w:gridCol w:w="1540"/>
        <w:gridCol w:w="60"/>
      </w:tblGrid>
      <w:tr>
        <w:trPr/>
        <w:tc>
          <w:tcPr>
            <w:tcW w:w="5150" w:type="dxa"/>
            <w:tcBorders>
              <w:bottom w:val="single" w:sz="12" w:space="0" w:color="000000"/>
            </w:tcBorders>
            <w:vAlign w:val="bottom"/>
          </w:tcPr>
          <w:p>
            <w:pPr>
              <w:pStyle w:val="TableContents"/>
              <w:bidi w:val="0"/>
              <w:spacing w:before="0" w:after="0"/>
              <w:ind w:left="144" w:right="0" w:hanging="144"/>
              <w:jc w:val="left"/>
              <w:rPr>
                <w:sz w:val="16"/>
              </w:rPr>
            </w:pPr>
            <w:r>
              <w:rPr>
                <w:i/>
                <w:sz w:val="20"/>
              </w:rPr>
              <w:t>(in millions of dollars</w:t>
            </w: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610" w:type="dxa"/>
            <w:gridSpan w:val="2"/>
            <w:tcBorders>
              <w:bottom w:val="single" w:sz="12" w:space="0" w:color="000000"/>
            </w:tcBorders>
            <w:vAlign w:val="bottom"/>
          </w:tcPr>
          <w:p>
            <w:pPr>
              <w:pStyle w:val="TableContents"/>
              <w:bidi w:val="0"/>
              <w:spacing w:before="0" w:after="0"/>
              <w:jc w:val="left"/>
              <w:rPr>
                <w:b/>
              </w:rPr>
            </w:pPr>
            <w:r>
              <w:rPr>
                <w:b/>
              </w:rPr>
              <w:t>March 28, 2026</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925" w:type="dxa"/>
            <w:gridSpan w:val="2"/>
            <w:tcBorders>
              <w:bottom w:val="single" w:sz="12" w:space="0" w:color="000000"/>
            </w:tcBorders>
            <w:vAlign w:val="bottom"/>
          </w:tcPr>
          <w:p>
            <w:pPr>
              <w:pStyle w:val="TableContents"/>
              <w:bidi w:val="0"/>
              <w:spacing w:before="0" w:after="0"/>
              <w:jc w:val="left"/>
              <w:rPr/>
            </w:pPr>
            <w:r>
              <w:rPr/>
              <w:t>September 27, 2025</w:t>
            </w:r>
          </w:p>
        </w:tc>
        <w:tc>
          <w:tcPr>
            <w:tcW w:w="60" w:type="dxa"/>
            <w:tcBorders/>
            <w:tcMar>
              <w:bottom w:w="0" w:type="dxa"/>
            </w:tcMar>
            <w:vAlign w:val="bottom"/>
          </w:tcPr>
          <w:p>
            <w:pPr>
              <w:pStyle w:val="TableContents"/>
              <w:bidi w:val="0"/>
              <w:spacing w:before="0" w:after="283"/>
              <w:jc w:val="left"/>
              <w:rPr/>
            </w:pPr>
            <w:r>
              <w:rPr/>
              <w:t> </w:t>
            </w:r>
          </w:p>
        </w:tc>
      </w:tr>
      <w:tr>
        <w:trPr/>
        <w:tc>
          <w:tcPr>
            <w:tcW w:w="5150" w:type="dxa"/>
            <w:tcBorders/>
            <w:shd w:fill="CCEEFF" w:val="clear"/>
            <w:tcMar>
              <w:bottom w:w="0" w:type="dxa"/>
            </w:tcMar>
            <w:vAlign w:val="bottom"/>
          </w:tcPr>
          <w:p>
            <w:pPr>
              <w:pStyle w:val="TableContents"/>
              <w:bidi w:val="0"/>
              <w:spacing w:before="0" w:after="0"/>
              <w:ind w:left="144" w:right="0" w:hanging="144"/>
              <w:jc w:val="left"/>
              <w:rPr/>
            </w:pPr>
            <w:r>
              <w:rPr/>
              <w:t xml:space="preserve">Cash and cash equivalents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0"/>
              <w:jc w:val="left"/>
              <w:rPr>
                <w:b/>
              </w:rPr>
            </w:pPr>
            <w:r>
              <w:rPr>
                <w:b/>
              </w:rPr>
              <w:t>$</w:t>
            </w:r>
          </w:p>
        </w:tc>
        <w:tc>
          <w:tcPr>
            <w:tcW w:w="1288" w:type="dxa"/>
            <w:tcBorders/>
            <w:shd w:fill="CCEEFF" w:val="clear"/>
            <w:tcMar>
              <w:bottom w:w="0" w:type="dxa"/>
            </w:tcMar>
            <w:vAlign w:val="bottom"/>
          </w:tcPr>
          <w:p>
            <w:pPr>
              <w:pStyle w:val="TableContents"/>
              <w:bidi w:val="0"/>
              <w:spacing w:before="0" w:after="0"/>
              <w:jc w:val="right"/>
              <w:rPr>
                <w:b/>
              </w:rPr>
            </w:pPr>
            <w:r>
              <w:rPr>
                <w:b/>
              </w:rPr>
              <w:t>303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85" w:type="dxa"/>
            <w:tcBorders/>
            <w:shd w:fill="CCEEFF" w:val="clear"/>
            <w:tcMar>
              <w:bottom w:w="0" w:type="dxa"/>
            </w:tcMar>
            <w:vAlign w:val="bottom"/>
          </w:tcPr>
          <w:p>
            <w:pPr>
              <w:pStyle w:val="TableContents"/>
              <w:bidi w:val="0"/>
              <w:spacing w:before="0" w:after="0"/>
              <w:jc w:val="left"/>
              <w:rPr/>
            </w:pPr>
            <w:r>
              <w:rPr/>
              <w:t>$</w:t>
            </w:r>
          </w:p>
        </w:tc>
        <w:tc>
          <w:tcPr>
            <w:tcW w:w="1540" w:type="dxa"/>
            <w:tcBorders/>
            <w:shd w:fill="CCEEFF" w:val="clear"/>
            <w:tcMar>
              <w:bottom w:w="0" w:type="dxa"/>
            </w:tcMar>
            <w:vAlign w:val="bottom"/>
          </w:tcPr>
          <w:p>
            <w:pPr>
              <w:pStyle w:val="TableContents"/>
              <w:bidi w:val="0"/>
              <w:spacing w:before="0" w:after="0"/>
              <w:jc w:val="right"/>
              <w:rPr/>
            </w:pPr>
            <w:r>
              <w:rPr/>
              <w:t>305</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5150" w:type="dxa"/>
            <w:tcBorders/>
            <w:tcMar>
              <w:bottom w:w="0" w:type="dxa"/>
            </w:tcMar>
            <w:vAlign w:val="bottom"/>
          </w:tcPr>
          <w:p>
            <w:pPr>
              <w:pStyle w:val="TableContents"/>
              <w:bidi w:val="0"/>
              <w:spacing w:before="0" w:after="0"/>
              <w:ind w:left="144" w:right="0" w:hanging="144"/>
              <w:jc w:val="left"/>
              <w:rPr/>
            </w:pPr>
            <w:r>
              <w:rPr/>
              <w:t>Accounts receivable</w:t>
            </w:r>
          </w:p>
        </w:tc>
        <w:tc>
          <w:tcPr>
            <w:tcW w:w="6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0"/>
              <w:jc w:val="right"/>
              <w:rPr>
                <w:b/>
              </w:rPr>
            </w:pPr>
            <w:r>
              <w:rPr>
                <w:b/>
              </w:rPr>
              <w:t>536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85" w:type="dxa"/>
            <w:tcBorders/>
            <w:tcMar>
              <w:bottom w:w="0" w:type="dxa"/>
            </w:tcMar>
            <w:vAlign w:val="bottom"/>
          </w:tcPr>
          <w:p>
            <w:pPr>
              <w:pStyle w:val="TableContents"/>
              <w:bidi w:val="0"/>
              <w:spacing w:before="0" w:after="283"/>
              <w:jc w:val="left"/>
              <w:rPr/>
            </w:pPr>
            <w:r>
              <w:rPr/>
              <w:t> </w:t>
            </w:r>
          </w:p>
        </w:tc>
        <w:tc>
          <w:tcPr>
            <w:tcW w:w="1540" w:type="dxa"/>
            <w:tcBorders/>
            <w:tcMar>
              <w:bottom w:w="0" w:type="dxa"/>
            </w:tcMar>
            <w:vAlign w:val="bottom"/>
          </w:tcPr>
          <w:p>
            <w:pPr>
              <w:pStyle w:val="TableContents"/>
              <w:bidi w:val="0"/>
              <w:spacing w:before="0" w:after="0"/>
              <w:jc w:val="right"/>
              <w:rPr/>
            </w:pPr>
            <w:r>
              <w:rPr/>
              <w:t>522</w:t>
            </w:r>
          </w:p>
        </w:tc>
        <w:tc>
          <w:tcPr>
            <w:tcW w:w="60" w:type="dxa"/>
            <w:tcBorders/>
            <w:tcMar>
              <w:bottom w:w="0" w:type="dxa"/>
            </w:tcMar>
            <w:vAlign w:val="bottom"/>
          </w:tcPr>
          <w:p>
            <w:pPr>
              <w:pStyle w:val="TableContents"/>
              <w:bidi w:val="0"/>
              <w:spacing w:before="0" w:after="283"/>
              <w:jc w:val="left"/>
              <w:rPr/>
            </w:pPr>
            <w:r>
              <w:rPr/>
              <w:t> </w:t>
            </w:r>
          </w:p>
        </w:tc>
      </w:tr>
      <w:tr>
        <w:trPr/>
        <w:tc>
          <w:tcPr>
            <w:tcW w:w="5150" w:type="dxa"/>
            <w:tcBorders/>
            <w:shd w:fill="CCEEFF" w:val="clear"/>
            <w:tcMar>
              <w:bottom w:w="0" w:type="dxa"/>
            </w:tcMar>
            <w:vAlign w:val="bottom"/>
          </w:tcPr>
          <w:p>
            <w:pPr>
              <w:pStyle w:val="TableContents"/>
              <w:bidi w:val="0"/>
              <w:spacing w:before="0" w:after="0"/>
              <w:ind w:left="144" w:right="0" w:hanging="144"/>
              <w:jc w:val="left"/>
              <w:rPr/>
            </w:pPr>
            <w:r>
              <w:rPr/>
              <w:t>Inventories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b/>
              </w:rPr>
            </w:pPr>
            <w:r>
              <w:rPr>
                <w:b/>
              </w:rPr>
              <w:t>472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85" w:type="dxa"/>
            <w:tcBorders/>
            <w:shd w:fill="CCEEFF" w:val="clear"/>
            <w:tcMar>
              <w:bottom w:w="0" w:type="dxa"/>
            </w:tcMar>
            <w:vAlign w:val="bottom"/>
          </w:tcPr>
          <w:p>
            <w:pPr>
              <w:pStyle w:val="TableContents"/>
              <w:bidi w:val="0"/>
              <w:spacing w:before="0" w:after="283"/>
              <w:jc w:val="left"/>
              <w:rPr/>
            </w:pPr>
            <w:r>
              <w:rPr/>
              <w:t> </w:t>
            </w:r>
          </w:p>
        </w:tc>
        <w:tc>
          <w:tcPr>
            <w:tcW w:w="1540" w:type="dxa"/>
            <w:tcBorders/>
            <w:shd w:fill="CCEEFF" w:val="clear"/>
            <w:tcMar>
              <w:bottom w:w="0" w:type="dxa"/>
            </w:tcMar>
            <w:vAlign w:val="bottom"/>
          </w:tcPr>
          <w:p>
            <w:pPr>
              <w:pStyle w:val="TableContents"/>
              <w:bidi w:val="0"/>
              <w:spacing w:before="0" w:after="0"/>
              <w:jc w:val="right"/>
              <w:rPr/>
            </w:pPr>
            <w:r>
              <w:rPr/>
              <w:t>474</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5150" w:type="dxa"/>
            <w:tcBorders/>
            <w:tcMar>
              <w:bottom w:w="0" w:type="dxa"/>
            </w:tcMar>
            <w:vAlign w:val="bottom"/>
          </w:tcPr>
          <w:p>
            <w:pPr>
              <w:pStyle w:val="TableContents"/>
              <w:bidi w:val="0"/>
              <w:spacing w:before="0" w:after="0"/>
              <w:ind w:left="144" w:right="0" w:hanging="144"/>
              <w:jc w:val="left"/>
              <w:rPr/>
            </w:pPr>
            <w:r>
              <w:rPr/>
              <w:t>Other current assets</w:t>
            </w:r>
          </w:p>
        </w:tc>
        <w:tc>
          <w:tcPr>
            <w:tcW w:w="6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0"/>
              <w:jc w:val="right"/>
              <w:rPr>
                <w:b/>
              </w:rPr>
            </w:pPr>
            <w:r>
              <w:rPr>
                <w:b/>
              </w:rPr>
              <w:t>96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85" w:type="dxa"/>
            <w:tcBorders/>
            <w:tcMar>
              <w:bottom w:w="0" w:type="dxa"/>
            </w:tcMar>
            <w:vAlign w:val="bottom"/>
          </w:tcPr>
          <w:p>
            <w:pPr>
              <w:pStyle w:val="TableContents"/>
              <w:bidi w:val="0"/>
              <w:spacing w:before="0" w:after="283"/>
              <w:jc w:val="left"/>
              <w:rPr/>
            </w:pPr>
            <w:r>
              <w:rPr/>
              <w:t> </w:t>
            </w:r>
          </w:p>
        </w:tc>
        <w:tc>
          <w:tcPr>
            <w:tcW w:w="1540" w:type="dxa"/>
            <w:tcBorders/>
            <w:tcMar>
              <w:bottom w:w="0" w:type="dxa"/>
            </w:tcMar>
            <w:vAlign w:val="bottom"/>
          </w:tcPr>
          <w:p>
            <w:pPr>
              <w:pStyle w:val="TableContents"/>
              <w:bidi w:val="0"/>
              <w:spacing w:before="0" w:after="0"/>
              <w:jc w:val="right"/>
              <w:rPr/>
            </w:pPr>
            <w:r>
              <w:rPr/>
              <w:t>122</w:t>
            </w:r>
          </w:p>
        </w:tc>
        <w:tc>
          <w:tcPr>
            <w:tcW w:w="60" w:type="dxa"/>
            <w:tcBorders/>
            <w:tcMar>
              <w:bottom w:w="0" w:type="dxa"/>
            </w:tcMar>
            <w:vAlign w:val="bottom"/>
          </w:tcPr>
          <w:p>
            <w:pPr>
              <w:pStyle w:val="TableContents"/>
              <w:bidi w:val="0"/>
              <w:spacing w:before="0" w:after="283"/>
              <w:jc w:val="left"/>
              <w:rPr/>
            </w:pPr>
            <w:r>
              <w:rPr/>
              <w:t> </w:t>
            </w:r>
          </w:p>
        </w:tc>
      </w:tr>
      <w:tr>
        <w:trPr/>
        <w:tc>
          <w:tcPr>
            <w:tcW w:w="5150" w:type="dxa"/>
            <w:tcBorders/>
            <w:shd w:fill="CCEEFF" w:val="clear"/>
            <w:tcMar>
              <w:bottom w:w="0" w:type="dxa"/>
            </w:tcMar>
            <w:vAlign w:val="bottom"/>
          </w:tcPr>
          <w:p>
            <w:pPr>
              <w:pStyle w:val="TableContents"/>
              <w:bidi w:val="0"/>
              <w:spacing w:before="0" w:after="0"/>
              <w:ind w:left="144" w:right="0" w:hanging="144"/>
              <w:jc w:val="left"/>
              <w:rPr/>
            </w:pPr>
            <w:r>
              <w:rPr/>
              <w:t>Property, plant, and equipment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b/>
              </w:rPr>
            </w:pPr>
            <w:r>
              <w:rPr>
                <w:b/>
              </w:rPr>
              <w:t>1,424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85" w:type="dxa"/>
            <w:tcBorders/>
            <w:shd w:fill="CCEEFF" w:val="clear"/>
            <w:tcMar>
              <w:bottom w:w="0" w:type="dxa"/>
            </w:tcMar>
            <w:vAlign w:val="bottom"/>
          </w:tcPr>
          <w:p>
            <w:pPr>
              <w:pStyle w:val="TableContents"/>
              <w:bidi w:val="0"/>
              <w:spacing w:before="0" w:after="283"/>
              <w:jc w:val="left"/>
              <w:rPr/>
            </w:pPr>
            <w:r>
              <w:rPr/>
              <w:t> </w:t>
            </w:r>
          </w:p>
        </w:tc>
        <w:tc>
          <w:tcPr>
            <w:tcW w:w="1540" w:type="dxa"/>
            <w:tcBorders/>
            <w:shd w:fill="CCEEFF" w:val="clear"/>
            <w:tcMar>
              <w:bottom w:w="0" w:type="dxa"/>
            </w:tcMar>
            <w:vAlign w:val="bottom"/>
          </w:tcPr>
          <w:p>
            <w:pPr>
              <w:pStyle w:val="TableContents"/>
              <w:bidi w:val="0"/>
              <w:spacing w:before="0" w:after="0"/>
              <w:jc w:val="right"/>
              <w:rPr/>
            </w:pPr>
            <w:r>
              <w:rPr/>
              <w:t>1,476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5150" w:type="dxa"/>
            <w:tcBorders>
              <w:bottom w:val="single" w:sz="12" w:space="0" w:color="000000"/>
            </w:tcBorders>
            <w:vAlign w:val="bottom"/>
          </w:tcPr>
          <w:p>
            <w:pPr>
              <w:pStyle w:val="TableContents"/>
              <w:bidi w:val="0"/>
              <w:spacing w:before="0" w:after="0"/>
              <w:ind w:left="144" w:right="0" w:hanging="144"/>
              <w:jc w:val="left"/>
              <w:rPr/>
            </w:pPr>
            <w:r>
              <w:rPr/>
              <w:t>Goodwill, intangible assets, and other long-term assets</w:t>
            </w:r>
          </w:p>
        </w:tc>
        <w:tc>
          <w:tcPr>
            <w:tcW w:w="60" w:type="dxa"/>
            <w:tcBorders>
              <w:bottom w:val="single" w:sz="12" w:space="0" w:color="000000"/>
            </w:tcBorders>
            <w:vAlign w:val="bottom"/>
          </w:tcPr>
          <w:p>
            <w:pPr>
              <w:pStyle w:val="TableContents"/>
              <w:bidi w:val="0"/>
              <w:spacing w:before="0" w:after="283"/>
              <w:jc w:val="left"/>
              <w:rPr/>
            </w:pPr>
            <w:r>
              <w:rPr/>
              <w:t> </w:t>
            </w:r>
          </w:p>
        </w:tc>
        <w:tc>
          <w:tcPr>
            <w:tcW w:w="322" w:type="dxa"/>
            <w:tcBorders>
              <w:bottom w:val="single" w:sz="12" w:space="0" w:color="000000"/>
            </w:tcBorders>
            <w:vAlign w:val="bottom"/>
          </w:tcPr>
          <w:p>
            <w:pPr>
              <w:pStyle w:val="TableContents"/>
              <w:bidi w:val="0"/>
              <w:spacing w:before="0" w:after="283"/>
              <w:jc w:val="left"/>
              <w:rPr/>
            </w:pPr>
            <w:r>
              <w:rPr/>
              <w:t> </w:t>
            </w:r>
          </w:p>
        </w:tc>
        <w:tc>
          <w:tcPr>
            <w:tcW w:w="1288" w:type="dxa"/>
            <w:tcBorders>
              <w:bottom w:val="single" w:sz="12" w:space="0" w:color="000000"/>
            </w:tcBorders>
            <w:vAlign w:val="bottom"/>
          </w:tcPr>
          <w:p>
            <w:pPr>
              <w:pStyle w:val="TableContents"/>
              <w:bidi w:val="0"/>
              <w:spacing w:before="0" w:after="0"/>
              <w:jc w:val="right"/>
              <w:rPr>
                <w:b/>
              </w:rPr>
            </w:pPr>
            <w:r>
              <w:rPr>
                <w:b/>
              </w:rPr>
              <w:t>1,065</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385" w:type="dxa"/>
            <w:tcBorders>
              <w:bottom w:val="single" w:sz="12" w:space="0" w:color="000000"/>
            </w:tcBorders>
            <w:vAlign w:val="bottom"/>
          </w:tcPr>
          <w:p>
            <w:pPr>
              <w:pStyle w:val="TableContents"/>
              <w:bidi w:val="0"/>
              <w:spacing w:before="0" w:after="283"/>
              <w:jc w:val="left"/>
              <w:rPr/>
            </w:pPr>
            <w:r>
              <w:rPr/>
              <w:t> </w:t>
            </w:r>
          </w:p>
        </w:tc>
        <w:tc>
          <w:tcPr>
            <w:tcW w:w="1540" w:type="dxa"/>
            <w:tcBorders>
              <w:bottom w:val="single" w:sz="12" w:space="0" w:color="000000"/>
            </w:tcBorders>
            <w:vAlign w:val="bottom"/>
          </w:tcPr>
          <w:p>
            <w:pPr>
              <w:pStyle w:val="TableContents"/>
              <w:bidi w:val="0"/>
              <w:spacing w:before="0" w:after="0"/>
              <w:jc w:val="right"/>
              <w:rPr/>
            </w:pPr>
            <w:r>
              <w:rPr/>
              <w:t>1,090</w:t>
            </w:r>
          </w:p>
        </w:tc>
        <w:tc>
          <w:tcPr>
            <w:tcW w:w="60" w:type="dxa"/>
            <w:tcBorders/>
            <w:tcMar>
              <w:bottom w:w="0" w:type="dxa"/>
            </w:tcMar>
            <w:vAlign w:val="bottom"/>
          </w:tcPr>
          <w:p>
            <w:pPr>
              <w:pStyle w:val="TableContents"/>
              <w:bidi w:val="0"/>
              <w:spacing w:before="0" w:after="283"/>
              <w:jc w:val="left"/>
              <w:rPr/>
            </w:pPr>
            <w:r>
              <w:rPr/>
              <w:t> </w:t>
            </w:r>
          </w:p>
        </w:tc>
      </w:tr>
      <w:tr>
        <w:trPr/>
        <w:tc>
          <w:tcPr>
            <w:tcW w:w="5150" w:type="dxa"/>
            <w:tcBorders>
              <w:bottom w:val="single" w:sz="12" w:space="0" w:color="000000"/>
            </w:tcBorders>
            <w:shd w:fill="CCEEFF" w:val="clear"/>
            <w:vAlign w:val="bottom"/>
          </w:tcPr>
          <w:p>
            <w:pPr>
              <w:pStyle w:val="TableContents"/>
              <w:bidi w:val="0"/>
              <w:spacing w:before="0" w:after="0"/>
              <w:ind w:left="144" w:right="0" w:hanging="144"/>
              <w:jc w:val="left"/>
              <w:rPr/>
            </w:pPr>
            <w:r>
              <w:rPr/>
              <w:t>Total assets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vAlign w:val="bottom"/>
          </w:tcPr>
          <w:p>
            <w:pPr>
              <w:pStyle w:val="TableContents"/>
              <w:bidi w:val="0"/>
              <w:spacing w:before="0" w:after="0"/>
              <w:jc w:val="left"/>
              <w:rPr>
                <w:b/>
              </w:rPr>
            </w:pPr>
            <w:r>
              <w:rPr>
                <w:b/>
              </w:rPr>
              <w:t>$</w:t>
            </w:r>
          </w:p>
        </w:tc>
        <w:tc>
          <w:tcPr>
            <w:tcW w:w="1288" w:type="dxa"/>
            <w:tcBorders>
              <w:bottom w:val="single" w:sz="12" w:space="0" w:color="000000"/>
            </w:tcBorders>
            <w:shd w:fill="CCEEFF" w:val="clear"/>
            <w:vAlign w:val="bottom"/>
          </w:tcPr>
          <w:p>
            <w:pPr>
              <w:pStyle w:val="TableContents"/>
              <w:bidi w:val="0"/>
              <w:spacing w:before="0" w:after="0"/>
              <w:jc w:val="right"/>
              <w:rPr>
                <w:b/>
              </w:rPr>
            </w:pPr>
            <w:r>
              <w:rPr>
                <w:b/>
              </w:rPr>
              <w:t>3,896</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385" w:type="dxa"/>
            <w:tcBorders>
              <w:bottom w:val="single" w:sz="12" w:space="0" w:color="000000"/>
            </w:tcBorders>
            <w:shd w:fill="CCEEFF" w:val="clear"/>
            <w:vAlign w:val="bottom"/>
          </w:tcPr>
          <w:p>
            <w:pPr>
              <w:pStyle w:val="TableContents"/>
              <w:bidi w:val="0"/>
              <w:spacing w:before="0" w:after="0"/>
              <w:jc w:val="left"/>
              <w:rPr/>
            </w:pPr>
            <w:r>
              <w:rPr/>
              <w:t>$</w:t>
            </w:r>
          </w:p>
        </w:tc>
        <w:tc>
          <w:tcPr>
            <w:tcW w:w="1540" w:type="dxa"/>
            <w:tcBorders>
              <w:bottom w:val="single" w:sz="12" w:space="0" w:color="000000"/>
            </w:tcBorders>
            <w:shd w:fill="CCEEFF" w:val="clear"/>
            <w:vAlign w:val="bottom"/>
          </w:tcPr>
          <w:p>
            <w:pPr>
              <w:pStyle w:val="TableContents"/>
              <w:bidi w:val="0"/>
              <w:spacing w:before="0" w:after="0"/>
              <w:jc w:val="right"/>
              <w:rPr/>
            </w:pPr>
            <w:r>
              <w:rPr/>
              <w:t>3,989</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5150" w:type="dxa"/>
            <w:tcBorders/>
            <w:tcMar>
              <w:bottom w:w="0" w:type="dxa"/>
            </w:tcMar>
            <w:vAlign w:val="bottom"/>
          </w:tcPr>
          <w:p>
            <w:pPr>
              <w:pStyle w:val="TableContents"/>
              <w:bidi w:val="0"/>
              <w:spacing w:before="0" w:after="0"/>
              <w:ind w:left="144" w:right="0" w:hanging="144"/>
              <w:jc w:val="left"/>
              <w:rPr/>
            </w:pPr>
            <w:r>
              <w:rPr/>
              <w:t>Current liabilities, excluding current debt</w:t>
            </w:r>
          </w:p>
        </w:tc>
        <w:tc>
          <w:tcPr>
            <w:tcW w:w="6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0"/>
              <w:jc w:val="right"/>
              <w:rPr>
                <w:b/>
              </w:rPr>
            </w:pPr>
            <w:r>
              <w:rPr>
                <w:b/>
              </w:rPr>
              <w:t>605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85" w:type="dxa"/>
            <w:tcBorders/>
            <w:tcMar>
              <w:bottom w:w="0" w:type="dxa"/>
            </w:tcMar>
            <w:vAlign w:val="bottom"/>
          </w:tcPr>
          <w:p>
            <w:pPr>
              <w:pStyle w:val="TableContents"/>
              <w:bidi w:val="0"/>
              <w:spacing w:before="0" w:after="283"/>
              <w:jc w:val="left"/>
              <w:rPr/>
            </w:pPr>
            <w:r>
              <w:rPr/>
              <w:t> </w:t>
            </w:r>
          </w:p>
        </w:tc>
        <w:tc>
          <w:tcPr>
            <w:tcW w:w="1540" w:type="dxa"/>
            <w:tcBorders/>
            <w:tcMar>
              <w:bottom w:w="0" w:type="dxa"/>
            </w:tcMar>
            <w:vAlign w:val="bottom"/>
          </w:tcPr>
          <w:p>
            <w:pPr>
              <w:pStyle w:val="TableContents"/>
              <w:bidi w:val="0"/>
              <w:spacing w:before="0" w:after="0"/>
              <w:jc w:val="right"/>
              <w:rPr/>
            </w:pPr>
            <w:r>
              <w:rPr/>
              <w:t>601</w:t>
            </w:r>
          </w:p>
        </w:tc>
        <w:tc>
          <w:tcPr>
            <w:tcW w:w="60" w:type="dxa"/>
            <w:tcBorders/>
            <w:tcMar>
              <w:bottom w:w="0" w:type="dxa"/>
            </w:tcMar>
            <w:vAlign w:val="bottom"/>
          </w:tcPr>
          <w:p>
            <w:pPr>
              <w:pStyle w:val="TableContents"/>
              <w:bidi w:val="0"/>
              <w:spacing w:before="0" w:after="283"/>
              <w:jc w:val="left"/>
              <w:rPr/>
            </w:pPr>
            <w:r>
              <w:rPr/>
              <w:t> </w:t>
            </w:r>
          </w:p>
        </w:tc>
      </w:tr>
      <w:tr>
        <w:trPr/>
        <w:tc>
          <w:tcPr>
            <w:tcW w:w="5150" w:type="dxa"/>
            <w:tcBorders/>
            <w:shd w:fill="CCEEFF" w:val="clear"/>
            <w:tcMar>
              <w:bottom w:w="0" w:type="dxa"/>
            </w:tcMar>
            <w:vAlign w:val="bottom"/>
          </w:tcPr>
          <w:p>
            <w:pPr>
              <w:pStyle w:val="TableContents"/>
              <w:bidi w:val="0"/>
              <w:spacing w:before="0" w:after="0"/>
              <w:ind w:left="144" w:right="0" w:hanging="144"/>
              <w:jc w:val="left"/>
              <w:rPr/>
            </w:pPr>
            <w:r>
              <w:rPr/>
              <w:t>Current and long-term debt</w:t>
            </w:r>
          </w:p>
        </w:tc>
        <w:tc>
          <w:tcPr>
            <w:tcW w:w="6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b/>
              </w:rPr>
            </w:pPr>
            <w:r>
              <w:rPr>
                <w:b/>
              </w:rPr>
              <w:t>1,899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85" w:type="dxa"/>
            <w:tcBorders/>
            <w:shd w:fill="CCEEFF" w:val="clear"/>
            <w:tcMar>
              <w:bottom w:w="0" w:type="dxa"/>
            </w:tcMar>
            <w:vAlign w:val="bottom"/>
          </w:tcPr>
          <w:p>
            <w:pPr>
              <w:pStyle w:val="TableContents"/>
              <w:bidi w:val="0"/>
              <w:spacing w:before="0" w:after="283"/>
              <w:jc w:val="left"/>
              <w:rPr/>
            </w:pPr>
            <w:r>
              <w:rPr/>
              <w:t> </w:t>
            </w:r>
          </w:p>
        </w:tc>
        <w:tc>
          <w:tcPr>
            <w:tcW w:w="1540" w:type="dxa"/>
            <w:tcBorders/>
            <w:shd w:fill="CCEEFF" w:val="clear"/>
            <w:tcMar>
              <w:bottom w:w="0" w:type="dxa"/>
            </w:tcMar>
            <w:vAlign w:val="bottom"/>
          </w:tcPr>
          <w:p>
            <w:pPr>
              <w:pStyle w:val="TableContents"/>
              <w:bidi w:val="0"/>
              <w:spacing w:before="0" w:after="0"/>
              <w:jc w:val="right"/>
              <w:rPr/>
            </w:pPr>
            <w:r>
              <w:rPr/>
              <w:t>1,952</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5150" w:type="dxa"/>
            <w:tcBorders/>
            <w:tcMar>
              <w:bottom w:w="0" w:type="dxa"/>
            </w:tcMar>
            <w:vAlign w:val="bottom"/>
          </w:tcPr>
          <w:p>
            <w:pPr>
              <w:pStyle w:val="TableContents"/>
              <w:bidi w:val="0"/>
              <w:spacing w:before="0" w:after="0"/>
              <w:ind w:left="144" w:right="0" w:hanging="144"/>
              <w:jc w:val="left"/>
              <w:rPr/>
            </w:pPr>
            <w:r>
              <w:rPr/>
              <w:t>Other long-term liabilities</w:t>
            </w:r>
          </w:p>
        </w:tc>
        <w:tc>
          <w:tcPr>
            <w:tcW w:w="6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0"/>
              <w:jc w:val="right"/>
              <w:rPr>
                <w:b/>
              </w:rPr>
            </w:pPr>
            <w:r>
              <w:rPr>
                <w:b/>
              </w:rPr>
              <w:t>353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85" w:type="dxa"/>
            <w:tcBorders/>
            <w:tcMar>
              <w:bottom w:w="0" w:type="dxa"/>
            </w:tcMar>
            <w:vAlign w:val="bottom"/>
          </w:tcPr>
          <w:p>
            <w:pPr>
              <w:pStyle w:val="TableContents"/>
              <w:bidi w:val="0"/>
              <w:spacing w:before="0" w:after="283"/>
              <w:jc w:val="left"/>
              <w:rPr/>
            </w:pPr>
            <w:r>
              <w:rPr/>
              <w:t> </w:t>
            </w:r>
          </w:p>
        </w:tc>
        <w:tc>
          <w:tcPr>
            <w:tcW w:w="1540" w:type="dxa"/>
            <w:tcBorders/>
            <w:tcMar>
              <w:bottom w:w="0" w:type="dxa"/>
            </w:tcMar>
            <w:vAlign w:val="bottom"/>
          </w:tcPr>
          <w:p>
            <w:pPr>
              <w:pStyle w:val="TableContents"/>
              <w:bidi w:val="0"/>
              <w:spacing w:before="0" w:after="0"/>
              <w:jc w:val="right"/>
              <w:rPr/>
            </w:pPr>
            <w:r>
              <w:rPr/>
              <w:t>372</w:t>
            </w:r>
          </w:p>
        </w:tc>
        <w:tc>
          <w:tcPr>
            <w:tcW w:w="60" w:type="dxa"/>
            <w:tcBorders/>
            <w:tcMar>
              <w:bottom w:w="0" w:type="dxa"/>
            </w:tcMar>
            <w:vAlign w:val="bottom"/>
          </w:tcPr>
          <w:p>
            <w:pPr>
              <w:pStyle w:val="TableContents"/>
              <w:bidi w:val="0"/>
              <w:spacing w:before="0" w:after="283"/>
              <w:jc w:val="left"/>
              <w:rPr/>
            </w:pPr>
            <w:r>
              <w:rPr/>
              <w:t> </w:t>
            </w:r>
          </w:p>
        </w:tc>
      </w:tr>
      <w:tr>
        <w:trPr/>
        <w:tc>
          <w:tcPr>
            <w:tcW w:w="5150" w:type="dxa"/>
            <w:tcBorders>
              <w:bottom w:val="single" w:sz="12" w:space="0" w:color="000000"/>
            </w:tcBorders>
            <w:shd w:fill="CCEEFF" w:val="clear"/>
            <w:vAlign w:val="bottom"/>
          </w:tcPr>
          <w:p>
            <w:pPr>
              <w:pStyle w:val="TableContents"/>
              <w:bidi w:val="0"/>
              <w:spacing w:before="0" w:after="0"/>
              <w:ind w:left="144" w:right="0" w:hanging="144"/>
              <w:jc w:val="left"/>
              <w:rPr/>
            </w:pPr>
            <w:r>
              <w:rPr/>
              <w:t>Stockholders’ equity</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vAlign w:val="bottom"/>
          </w:tcPr>
          <w:p>
            <w:pPr>
              <w:pStyle w:val="TableContents"/>
              <w:bidi w:val="0"/>
              <w:spacing w:before="0" w:after="283"/>
              <w:jc w:val="left"/>
              <w:rPr/>
            </w:pPr>
            <w:r>
              <w:rPr/>
              <w:t> </w:t>
            </w:r>
          </w:p>
        </w:tc>
        <w:tc>
          <w:tcPr>
            <w:tcW w:w="1288" w:type="dxa"/>
            <w:tcBorders>
              <w:bottom w:val="single" w:sz="12" w:space="0" w:color="000000"/>
            </w:tcBorders>
            <w:shd w:fill="CCEEFF" w:val="clear"/>
            <w:vAlign w:val="bottom"/>
          </w:tcPr>
          <w:p>
            <w:pPr>
              <w:pStyle w:val="TableContents"/>
              <w:bidi w:val="0"/>
              <w:spacing w:before="0" w:after="0"/>
              <w:jc w:val="right"/>
              <w:rPr>
                <w:b/>
              </w:rPr>
            </w:pPr>
            <w:r>
              <w:rPr>
                <w:b/>
              </w:rPr>
              <w:t>1,039</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385" w:type="dxa"/>
            <w:tcBorders>
              <w:bottom w:val="single" w:sz="12" w:space="0" w:color="000000"/>
            </w:tcBorders>
            <w:shd w:fill="CCEEFF" w:val="clear"/>
            <w:vAlign w:val="bottom"/>
          </w:tcPr>
          <w:p>
            <w:pPr>
              <w:pStyle w:val="TableContents"/>
              <w:bidi w:val="0"/>
              <w:spacing w:before="0" w:after="283"/>
              <w:jc w:val="left"/>
              <w:rPr/>
            </w:pPr>
            <w:r>
              <w:rPr/>
              <w:t> </w:t>
            </w:r>
          </w:p>
        </w:tc>
        <w:tc>
          <w:tcPr>
            <w:tcW w:w="1540" w:type="dxa"/>
            <w:tcBorders>
              <w:bottom w:val="single" w:sz="12" w:space="0" w:color="000000"/>
            </w:tcBorders>
            <w:shd w:fill="CCEEFF" w:val="clear"/>
            <w:vAlign w:val="bottom"/>
          </w:tcPr>
          <w:p>
            <w:pPr>
              <w:pStyle w:val="TableContents"/>
              <w:bidi w:val="0"/>
              <w:spacing w:before="0" w:after="0"/>
              <w:jc w:val="right"/>
              <w:rPr/>
            </w:pPr>
            <w:r>
              <w:rPr/>
              <w:t>1,064</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5150" w:type="dxa"/>
            <w:tcBorders>
              <w:bottom w:val="single" w:sz="12" w:space="0" w:color="000000"/>
            </w:tcBorders>
            <w:vAlign w:val="bottom"/>
          </w:tcPr>
          <w:p>
            <w:pPr>
              <w:pStyle w:val="TableContents"/>
              <w:bidi w:val="0"/>
              <w:spacing w:before="0" w:after="0"/>
              <w:ind w:left="144" w:right="0" w:hanging="144"/>
              <w:jc w:val="left"/>
              <w:rPr/>
            </w:pPr>
            <w:r>
              <w:rPr/>
              <w:t>Total liabilities and stockholders' equity</w:t>
            </w:r>
          </w:p>
        </w:tc>
        <w:tc>
          <w:tcPr>
            <w:tcW w:w="60" w:type="dxa"/>
            <w:tcBorders>
              <w:bottom w:val="single" w:sz="12" w:space="0" w:color="000000"/>
            </w:tcBorders>
            <w:vAlign w:val="bottom"/>
          </w:tcPr>
          <w:p>
            <w:pPr>
              <w:pStyle w:val="TableContents"/>
              <w:bidi w:val="0"/>
              <w:spacing w:before="0" w:after="283"/>
              <w:jc w:val="left"/>
              <w:rPr/>
            </w:pPr>
            <w:r>
              <w:rPr/>
              <w:t> </w:t>
            </w:r>
          </w:p>
        </w:tc>
        <w:tc>
          <w:tcPr>
            <w:tcW w:w="322" w:type="dxa"/>
            <w:tcBorders>
              <w:bottom w:val="single" w:sz="12" w:space="0" w:color="000000"/>
            </w:tcBorders>
            <w:vAlign w:val="bottom"/>
          </w:tcPr>
          <w:p>
            <w:pPr>
              <w:pStyle w:val="TableContents"/>
              <w:bidi w:val="0"/>
              <w:spacing w:before="0" w:after="0"/>
              <w:jc w:val="left"/>
              <w:rPr>
                <w:b/>
              </w:rPr>
            </w:pPr>
            <w:r>
              <w:rPr>
                <w:b/>
              </w:rPr>
              <w:t>$</w:t>
            </w:r>
          </w:p>
        </w:tc>
        <w:tc>
          <w:tcPr>
            <w:tcW w:w="1288" w:type="dxa"/>
            <w:tcBorders>
              <w:bottom w:val="single" w:sz="12" w:space="0" w:color="000000"/>
            </w:tcBorders>
            <w:vAlign w:val="bottom"/>
          </w:tcPr>
          <w:p>
            <w:pPr>
              <w:pStyle w:val="TableContents"/>
              <w:bidi w:val="0"/>
              <w:spacing w:before="0" w:after="0"/>
              <w:jc w:val="right"/>
              <w:rPr>
                <w:b/>
              </w:rPr>
            </w:pPr>
            <w:r>
              <w:rPr>
                <w:b/>
              </w:rPr>
              <w:t>3,896</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385" w:type="dxa"/>
            <w:tcBorders>
              <w:bottom w:val="single" w:sz="12" w:space="0" w:color="000000"/>
            </w:tcBorders>
            <w:vAlign w:val="bottom"/>
          </w:tcPr>
          <w:p>
            <w:pPr>
              <w:pStyle w:val="TableContents"/>
              <w:bidi w:val="0"/>
              <w:spacing w:before="0" w:after="0"/>
              <w:jc w:val="left"/>
              <w:rPr/>
            </w:pPr>
            <w:r>
              <w:rPr/>
              <w:t>$</w:t>
            </w:r>
          </w:p>
        </w:tc>
        <w:tc>
          <w:tcPr>
            <w:tcW w:w="1540" w:type="dxa"/>
            <w:tcBorders>
              <w:bottom w:val="single" w:sz="12" w:space="0" w:color="000000"/>
            </w:tcBorders>
            <w:vAlign w:val="bottom"/>
          </w:tcPr>
          <w:p>
            <w:pPr>
              <w:pStyle w:val="TableContents"/>
              <w:bidi w:val="0"/>
              <w:spacing w:before="0" w:after="0"/>
              <w:jc w:val="right"/>
              <w:rPr/>
            </w:pPr>
            <w:r>
              <w:rPr/>
              <w:t>3,989</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Non-GAAP Measures and Estimates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(in millions of dollars)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Net sales and Adjusted EBITDA on a supplemental comparable basis by segment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dc3b64ccdd7b432bbadaade86cf96c4b"/>
      <w:bookmarkStart w:id="31" w:name="zdc3b64ccdd7b432bbadaade86cf96c4b"/>
      <w:bookmarkEnd w:id="31"/>
    </w:p>
    <w:tbl>
      <w:tblPr>
        <w:tblW w:w="13749" w:type="dxa"/>
        <w:jc w:val="left"/>
        <w:tblInd w:w="0" w:type="dxa"/>
        <w:tblLayout w:type="fixed"/>
        <w:tblCellMar>
          <w:top w:w="0" w:type="dxa"/>
          <w:left w:w="0" w:type="dxa"/>
          <w:bottom w:w="0" w:type="dxa"/>
          <w:right w:w="0" w:type="dxa"/>
        </w:tblCellMar>
      </w:tblPr>
      <w:tblGrid>
        <w:gridCol w:w="2870"/>
        <w:gridCol w:w="60"/>
        <w:gridCol w:w="263"/>
        <w:gridCol w:w="717"/>
        <w:gridCol w:w="557"/>
        <w:gridCol w:w="99"/>
        <w:gridCol w:w="388"/>
        <w:gridCol w:w="1057"/>
        <w:gridCol w:w="432"/>
        <w:gridCol w:w="99"/>
        <w:gridCol w:w="232"/>
        <w:gridCol w:w="857"/>
        <w:gridCol w:w="335"/>
        <w:gridCol w:w="60"/>
        <w:gridCol w:w="504"/>
        <w:gridCol w:w="1243"/>
        <w:gridCol w:w="107"/>
        <w:gridCol w:w="107"/>
        <w:gridCol w:w="504"/>
        <w:gridCol w:w="941"/>
        <w:gridCol w:w="169"/>
        <w:gridCol w:w="107"/>
        <w:gridCol w:w="249"/>
        <w:gridCol w:w="1002"/>
        <w:gridCol w:w="95"/>
        <w:gridCol w:w="60"/>
        <w:gridCol w:w="154"/>
        <w:gridCol w:w="421"/>
        <w:gridCol w:w="60"/>
      </w:tblGrid>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Quarterly Period ended March 28, 2026</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933" w:type="dxa"/>
            <w:gridSpan w:val="10"/>
            <w:tcBorders>
              <w:bottom w:val="single" w:sz="12" w:space="0" w:color="000000"/>
            </w:tcBorders>
            <w:tcMar>
              <w:bottom w:w="28" w:type="dxa"/>
            </w:tcMar>
            <w:vAlign w:val="bottom"/>
          </w:tcPr>
          <w:p>
            <w:pPr>
              <w:pStyle w:val="TableContents"/>
              <w:bidi w:val="0"/>
              <w:spacing w:before="0" w:after="0"/>
              <w:jc w:val="center"/>
              <w:rPr>
                <w:b/>
              </w:rPr>
            </w:pPr>
            <w:r>
              <w:rPr>
                <w:b/>
              </w:rPr>
              <w:t>Quarterly Period ended March 29, 2025</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Americas</w:t>
            </w:r>
          </w:p>
        </w:tc>
        <w:tc>
          <w:tcPr>
            <w:tcW w:w="5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Rest of World</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33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7"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Americas</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Rest of World</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b/>
              </w:rPr>
            </w:pPr>
            <w:r>
              <w:rPr>
                <w:b/>
              </w:rPr>
              <w:t>Net sales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0"/>
              <w:jc w:val="left"/>
              <w:rPr>
                <w:b/>
              </w:rPr>
            </w:pPr>
            <w:r>
              <w:rPr>
                <w:b/>
              </w:rPr>
              <w:t>$</w:t>
            </w:r>
          </w:p>
        </w:tc>
        <w:tc>
          <w:tcPr>
            <w:tcW w:w="717" w:type="dxa"/>
            <w:tcBorders/>
            <w:shd w:fill="CCEEFF" w:val="clear"/>
            <w:vAlign w:val="bottom"/>
          </w:tcPr>
          <w:p>
            <w:pPr>
              <w:pStyle w:val="TableContents"/>
              <w:bidi w:val="0"/>
              <w:spacing w:before="0" w:after="0"/>
              <w:jc w:val="right"/>
              <w:rPr>
                <w:b/>
              </w:rPr>
            </w:pPr>
            <w:r>
              <w:rPr>
                <w:b/>
              </w:rPr>
              <w:t>437</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0"/>
              <w:jc w:val="left"/>
              <w:rPr>
                <w:b/>
              </w:rPr>
            </w:pPr>
            <w:r>
              <w:rPr>
                <w:b/>
              </w:rPr>
              <w:t>$</w:t>
            </w:r>
          </w:p>
        </w:tc>
        <w:tc>
          <w:tcPr>
            <w:tcW w:w="1057" w:type="dxa"/>
            <w:tcBorders/>
            <w:shd w:fill="CCEEFF" w:val="clear"/>
            <w:vAlign w:val="bottom"/>
          </w:tcPr>
          <w:p>
            <w:pPr>
              <w:pStyle w:val="TableContents"/>
              <w:bidi w:val="0"/>
              <w:spacing w:before="0" w:after="0"/>
              <w:jc w:val="right"/>
              <w:rPr>
                <w:b/>
              </w:rPr>
            </w:pPr>
            <w:r>
              <w:rPr>
                <w:b/>
              </w:rPr>
              <w:t>359</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b/>
              </w:rPr>
            </w:pPr>
            <w:r>
              <w:rPr>
                <w:b/>
              </w:rPr>
              <w:t>$</w:t>
            </w:r>
          </w:p>
        </w:tc>
        <w:tc>
          <w:tcPr>
            <w:tcW w:w="857" w:type="dxa"/>
            <w:tcBorders/>
            <w:shd w:fill="CCEEFF" w:val="clear"/>
            <w:vAlign w:val="bottom"/>
          </w:tcPr>
          <w:p>
            <w:pPr>
              <w:pStyle w:val="TableContents"/>
              <w:bidi w:val="0"/>
              <w:spacing w:before="0" w:after="0"/>
              <w:jc w:val="right"/>
              <w:rPr>
                <w:b/>
              </w:rPr>
            </w:pPr>
            <w:r>
              <w:rPr>
                <w:b/>
              </w:rPr>
              <w:t>796</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0"/>
              <w:jc w:val="left"/>
              <w:rPr/>
            </w:pPr>
            <w:r>
              <w:rPr/>
              <w:t>$</w:t>
            </w:r>
          </w:p>
        </w:tc>
        <w:tc>
          <w:tcPr>
            <w:tcW w:w="1243" w:type="dxa"/>
            <w:tcBorders/>
            <w:shd w:fill="CCEEFF" w:val="clear"/>
            <w:vAlign w:val="bottom"/>
          </w:tcPr>
          <w:p>
            <w:pPr>
              <w:pStyle w:val="TableContents"/>
              <w:bidi w:val="0"/>
              <w:spacing w:before="0" w:after="0"/>
              <w:jc w:val="right"/>
              <w:rPr/>
            </w:pPr>
            <w:r>
              <w:rPr/>
              <w:t>473</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0"/>
              <w:jc w:val="left"/>
              <w:rPr/>
            </w:pPr>
            <w:r>
              <w:rPr/>
              <w:t>$</w:t>
            </w:r>
          </w:p>
        </w:tc>
        <w:tc>
          <w:tcPr>
            <w:tcW w:w="941" w:type="dxa"/>
            <w:tcBorders/>
            <w:shd w:fill="CCEEFF" w:val="clear"/>
            <w:vAlign w:val="bottom"/>
          </w:tcPr>
          <w:p>
            <w:pPr>
              <w:pStyle w:val="TableContents"/>
              <w:bidi w:val="0"/>
              <w:spacing w:before="0" w:after="0"/>
              <w:jc w:val="right"/>
              <w:rPr/>
            </w:pPr>
            <w:r>
              <w:rPr/>
              <w:t>351</w:t>
            </w:r>
          </w:p>
        </w:tc>
        <w:tc>
          <w:tcPr>
            <w:tcW w:w="16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pPr>
            <w:r>
              <w:rPr/>
              <w:t>$</w:t>
            </w:r>
          </w:p>
        </w:tc>
        <w:tc>
          <w:tcPr>
            <w:tcW w:w="1002" w:type="dxa"/>
            <w:tcBorders/>
            <w:shd w:fill="CCEEFF" w:val="clear"/>
            <w:vAlign w:val="bottom"/>
          </w:tcPr>
          <w:p>
            <w:pPr>
              <w:pStyle w:val="TableContents"/>
              <w:bidi w:val="0"/>
              <w:spacing w:before="0" w:after="0"/>
              <w:jc w:val="right"/>
              <w:rPr/>
            </w:pPr>
            <w:r>
              <w:rPr/>
              <w:t>824</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pPr>
            <w:r>
              <w:rPr/>
              <w:t xml:space="preserve">Constant FX rates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0"/>
              <w:jc w:val="right"/>
              <w:rPr/>
            </w:pPr>
            <w:r>
              <w:rPr/>
              <w:t>11</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pPr>
            <w:r>
              <w:rPr/>
              <w:t>37</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0"/>
              <w:jc w:val="right"/>
              <w:rPr/>
            </w:pPr>
            <w:r>
              <w:rPr/>
              <w:t>48</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sz w:val="16"/>
              </w:rPr>
            </w:pPr>
            <w:r>
              <w:rPr>
                <w:b/>
                <w:sz w:val="20"/>
              </w:rPr>
              <w:t xml:space="preserve">Comparable net sales </w:t>
            </w:r>
            <w:r>
              <w:rPr>
                <w:sz w:val="20"/>
              </w:rPr>
              <w:t>(1)(6)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437</w:t>
            </w:r>
          </w:p>
        </w:tc>
        <w:tc>
          <w:tcPr>
            <w:tcW w:w="5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10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359</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796</w:t>
            </w:r>
          </w:p>
        </w:tc>
        <w:tc>
          <w:tcPr>
            <w:tcW w:w="33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43" w:type="dxa"/>
            <w:tcBorders>
              <w:bottom w:val="single" w:sz="12" w:space="0" w:color="000000"/>
            </w:tcBorders>
            <w:shd w:fill="CCEEFF" w:val="clear"/>
            <w:tcMar>
              <w:bottom w:w="28" w:type="dxa"/>
            </w:tcMar>
            <w:vAlign w:val="bottom"/>
          </w:tcPr>
          <w:p>
            <w:pPr>
              <w:pStyle w:val="TableContents"/>
              <w:bidi w:val="0"/>
              <w:spacing w:before="0" w:after="0"/>
              <w:jc w:val="right"/>
              <w:rPr/>
            </w:pPr>
            <w:r>
              <w:rPr/>
              <w:t>484</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pPr>
            <w:r>
              <w:rPr/>
              <w:t>388</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02" w:type="dxa"/>
            <w:tcBorders>
              <w:bottom w:val="single" w:sz="12" w:space="0" w:color="000000"/>
            </w:tcBorders>
            <w:shd w:fill="CCEEFF" w:val="clear"/>
            <w:tcMar>
              <w:bottom w:w="28" w:type="dxa"/>
            </w:tcMar>
            <w:vAlign w:val="bottom"/>
          </w:tcPr>
          <w:p>
            <w:pPr>
              <w:pStyle w:val="TableContents"/>
              <w:bidi w:val="0"/>
              <w:spacing w:before="0" w:after="0"/>
              <w:jc w:val="right"/>
              <w:rPr/>
            </w:pPr>
            <w:r>
              <w:rPr/>
              <w:t>872</w:t>
            </w:r>
          </w:p>
        </w:tc>
        <w:tc>
          <w:tcPr>
            <w:tcW w:w="9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b/>
              </w:rPr>
            </w:pPr>
            <w:r>
              <w:rPr>
                <w:b/>
              </w:rPr>
              <w:t>Operating Income</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0"/>
              <w:jc w:val="left"/>
              <w:rPr>
                <w:b/>
              </w:rPr>
            </w:pPr>
            <w:r>
              <w:rPr>
                <w:b/>
              </w:rPr>
              <w:t>$</w:t>
            </w:r>
          </w:p>
        </w:tc>
        <w:tc>
          <w:tcPr>
            <w:tcW w:w="717" w:type="dxa"/>
            <w:tcBorders/>
            <w:shd w:fill="CCEEFF" w:val="clear"/>
            <w:vAlign w:val="bottom"/>
          </w:tcPr>
          <w:p>
            <w:pPr>
              <w:pStyle w:val="TableContents"/>
              <w:bidi w:val="0"/>
              <w:spacing w:before="0" w:after="0"/>
              <w:jc w:val="right"/>
              <w:rPr>
                <w:b/>
              </w:rPr>
            </w:pPr>
            <w:r>
              <w:rPr>
                <w:b/>
              </w:rPr>
              <w:t>8</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0"/>
              <w:jc w:val="left"/>
              <w:rPr>
                <w:b/>
              </w:rPr>
            </w:pPr>
            <w:r>
              <w:rPr>
                <w:b/>
              </w:rPr>
              <w:t>$</w:t>
            </w:r>
          </w:p>
        </w:tc>
        <w:tc>
          <w:tcPr>
            <w:tcW w:w="1057" w:type="dxa"/>
            <w:tcBorders/>
            <w:shd w:fill="CCEEFF" w:val="clear"/>
            <w:vAlign w:val="bottom"/>
          </w:tcPr>
          <w:p>
            <w:pPr>
              <w:pStyle w:val="TableContents"/>
              <w:bidi w:val="0"/>
              <w:spacing w:before="0" w:after="0"/>
              <w:jc w:val="right"/>
              <w:rPr>
                <w:b/>
              </w:rPr>
            </w:pPr>
            <w:r>
              <w:rPr>
                <w:b/>
              </w:rPr>
              <w:t>9</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b/>
              </w:rPr>
            </w:pPr>
            <w:r>
              <w:rPr>
                <w:b/>
              </w:rPr>
              <w:t>$</w:t>
            </w:r>
          </w:p>
        </w:tc>
        <w:tc>
          <w:tcPr>
            <w:tcW w:w="857" w:type="dxa"/>
            <w:tcBorders/>
            <w:shd w:fill="CCEEFF" w:val="clear"/>
            <w:vAlign w:val="bottom"/>
          </w:tcPr>
          <w:p>
            <w:pPr>
              <w:pStyle w:val="TableContents"/>
              <w:bidi w:val="0"/>
              <w:spacing w:before="0" w:after="0"/>
              <w:jc w:val="right"/>
              <w:rPr>
                <w:b/>
              </w:rPr>
            </w:pPr>
            <w:r>
              <w:rPr>
                <w:b/>
              </w:rPr>
              <w:t>17</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0"/>
              <w:jc w:val="left"/>
              <w:rPr/>
            </w:pPr>
            <w:r>
              <w:rPr/>
              <w:t>$</w:t>
            </w:r>
          </w:p>
        </w:tc>
        <w:tc>
          <w:tcPr>
            <w:tcW w:w="1243" w:type="dxa"/>
            <w:tcBorders/>
            <w:shd w:fill="CCEEFF" w:val="clear"/>
            <w:vAlign w:val="bottom"/>
          </w:tcPr>
          <w:p>
            <w:pPr>
              <w:pStyle w:val="TableContents"/>
              <w:bidi w:val="0"/>
              <w:spacing w:before="0" w:after="0"/>
              <w:jc w:val="right"/>
              <w:rPr/>
            </w:pPr>
            <w:r>
              <w:rPr/>
              <w:t>8</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0"/>
              <w:jc w:val="left"/>
              <w:rPr/>
            </w:pPr>
            <w:r>
              <w:rPr/>
              <w:t>$</w:t>
            </w:r>
          </w:p>
        </w:tc>
        <w:tc>
          <w:tcPr>
            <w:tcW w:w="941" w:type="dxa"/>
            <w:tcBorders/>
            <w:shd w:fill="CCEEFF" w:val="clear"/>
            <w:vAlign w:val="bottom"/>
          </w:tcPr>
          <w:p>
            <w:pPr>
              <w:pStyle w:val="TableContents"/>
              <w:bidi w:val="0"/>
              <w:spacing w:before="0" w:after="0"/>
              <w:jc w:val="right"/>
              <w:rPr/>
            </w:pPr>
            <w:r>
              <w:rPr/>
              <w:t>(4</w:t>
            </w:r>
          </w:p>
        </w:tc>
        <w:tc>
          <w:tcPr>
            <w:tcW w:w="169" w:type="dxa"/>
            <w:tcBorders/>
            <w:shd w:fill="CCEEFF" w:val="clear"/>
            <w:vAlign w:val="bottom"/>
          </w:tcPr>
          <w:p>
            <w:pPr>
              <w:pStyle w:val="TableContents"/>
              <w:bidi w:val="0"/>
              <w:spacing w:before="0" w:after="0"/>
              <w:jc w:val="left"/>
              <w:rPr/>
            </w:pPr>
            <w:r>
              <w:rPr/>
              <w:t>)</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pPr>
            <w:r>
              <w:rPr/>
              <w:t>$</w:t>
            </w:r>
          </w:p>
        </w:tc>
        <w:tc>
          <w:tcPr>
            <w:tcW w:w="1002" w:type="dxa"/>
            <w:tcBorders/>
            <w:shd w:fill="CCEEFF" w:val="clear"/>
            <w:vAlign w:val="bottom"/>
          </w:tcPr>
          <w:p>
            <w:pPr>
              <w:pStyle w:val="TableContents"/>
              <w:bidi w:val="0"/>
              <w:spacing w:before="0" w:after="0"/>
              <w:jc w:val="right"/>
              <w:rPr/>
            </w:pPr>
            <w:r>
              <w:rPr/>
              <w:t>4</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pPr>
            <w:r>
              <w:rPr/>
              <w:t>Depreciation and amortization</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b/>
              </w:rPr>
            </w:pPr>
            <w:r>
              <w:rPr>
                <w:b/>
              </w:rPr>
              <w:t>34</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b/>
              </w:rPr>
            </w:pPr>
            <w:r>
              <w:rPr>
                <w:b/>
              </w:rPr>
              <w:t>17</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b/>
              </w:rPr>
            </w:pPr>
            <w:r>
              <w:rPr>
                <w:b/>
              </w:rPr>
              <w:t>51</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0"/>
              <w:jc w:val="right"/>
              <w:rPr/>
            </w:pPr>
            <w:r>
              <w:rPr/>
              <w:t>39</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pPr>
            <w:r>
              <w:rPr/>
              <w:t>19</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0"/>
              <w:jc w:val="right"/>
              <w:rPr/>
            </w:pPr>
            <w:r>
              <w:rPr/>
              <w:t>58</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pPr>
            <w:r>
              <w:rPr/>
              <w:t>Integration, business consolidation and other activities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b/>
              </w:rPr>
            </w:pPr>
            <w:r>
              <w:rPr>
                <w:b/>
              </w:rPr>
              <w:t>13</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0"/>
              <w:jc w:val="right"/>
              <w:rPr>
                <w:b/>
              </w:rPr>
            </w:pPr>
            <w:r>
              <w:rPr>
                <w:b/>
              </w:rPr>
              <w:t>4</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0"/>
              <w:jc w:val="right"/>
              <w:rPr>
                <w:b/>
              </w:rPr>
            </w:pPr>
            <w:r>
              <w:rPr>
                <w:b/>
              </w:rPr>
              <w:t>17</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0"/>
              <w:jc w:val="right"/>
              <w:rPr/>
            </w:pPr>
            <w:r>
              <w:rPr/>
              <w:t>14</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pPr>
            <w:r>
              <w:rPr/>
              <w:t>5</w:t>
            </w:r>
          </w:p>
        </w:tc>
        <w:tc>
          <w:tcPr>
            <w:tcW w:w="16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0"/>
              <w:jc w:val="right"/>
              <w:rPr/>
            </w:pPr>
            <w:r>
              <w:rPr/>
              <w:t>19</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0"/>
              <w:ind w:left="144" w:right="0" w:hanging="144"/>
              <w:jc w:val="left"/>
              <w:rPr/>
            </w:pPr>
            <w:r>
              <w:rPr/>
              <w:t>Other non-cash charges (5)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0"/>
              <w:jc w:val="right"/>
              <w:rPr>
                <w:b/>
              </w:rPr>
            </w:pPr>
            <w:r>
              <w:rPr>
                <w:b/>
              </w:rPr>
              <w:t>3</w:t>
            </w:r>
          </w:p>
        </w:tc>
        <w:tc>
          <w:tcPr>
            <w:tcW w:w="5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0"/>
              <w:jc w:val="right"/>
              <w:rPr>
                <w:b/>
              </w:rPr>
            </w:pPr>
            <w:r>
              <w:rPr>
                <w:b/>
              </w:rPr>
              <w:t>2</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tcMar>
              <w:bottom w:w="28" w:type="dxa"/>
            </w:tcMar>
            <w:vAlign w:val="bottom"/>
          </w:tcPr>
          <w:p>
            <w:pPr>
              <w:pStyle w:val="TableContents"/>
              <w:bidi w:val="0"/>
              <w:spacing w:before="0" w:after="0"/>
              <w:jc w:val="right"/>
              <w:rPr>
                <w:b/>
              </w:rPr>
            </w:pPr>
            <w:r>
              <w:rPr>
                <w:b/>
              </w:rPr>
              <w:t>5</w:t>
            </w:r>
          </w:p>
        </w:tc>
        <w:tc>
          <w:tcPr>
            <w:tcW w:w="33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3" w:type="dxa"/>
            <w:tcBorders>
              <w:bottom w:val="single" w:sz="12" w:space="0" w:color="000000"/>
            </w:tcBorders>
            <w:tcMar>
              <w:bottom w:w="28" w:type="dxa"/>
            </w:tcMar>
            <w:vAlign w:val="bottom"/>
          </w:tcPr>
          <w:p>
            <w:pPr>
              <w:pStyle w:val="TableContents"/>
              <w:bidi w:val="0"/>
              <w:spacing w:before="0" w:after="0"/>
              <w:jc w:val="right"/>
              <w:rPr/>
            </w:pPr>
            <w:r>
              <w:rPr/>
              <w:t>3</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tcMar>
              <w:bottom w:w="28" w:type="dxa"/>
            </w:tcMar>
            <w:vAlign w:val="bottom"/>
          </w:tcPr>
          <w:p>
            <w:pPr>
              <w:pStyle w:val="TableContents"/>
              <w:bidi w:val="0"/>
              <w:spacing w:before="0" w:after="0"/>
              <w:jc w:val="right"/>
              <w:rPr/>
            </w:pPr>
            <w:r>
              <w:rPr/>
              <w:t>5</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2" w:type="dxa"/>
            <w:tcBorders>
              <w:bottom w:val="single" w:sz="12" w:space="0" w:color="000000"/>
            </w:tcBorders>
            <w:tcMar>
              <w:bottom w:w="28" w:type="dxa"/>
            </w:tcMar>
            <w:vAlign w:val="bottom"/>
          </w:tcPr>
          <w:p>
            <w:pPr>
              <w:pStyle w:val="TableContents"/>
              <w:bidi w:val="0"/>
              <w:spacing w:before="0" w:after="0"/>
              <w:jc w:val="right"/>
              <w:rPr/>
            </w:pPr>
            <w:r>
              <w:rPr/>
              <w:t>8</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sz w:val="16"/>
              </w:rPr>
            </w:pPr>
            <w:r>
              <w:rPr>
                <w:b/>
                <w:sz w:val="20"/>
              </w:rPr>
              <w:t xml:space="preserve">Adjusted EBITDA </w:t>
            </w:r>
            <w:r>
              <w:rPr>
                <w:sz w:val="20"/>
              </w:rPr>
              <w:t>(1)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58</w:t>
            </w:r>
          </w:p>
        </w:tc>
        <w:tc>
          <w:tcPr>
            <w:tcW w:w="5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10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32</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90</w:t>
            </w:r>
          </w:p>
        </w:tc>
        <w:tc>
          <w:tcPr>
            <w:tcW w:w="33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43" w:type="dxa"/>
            <w:tcBorders>
              <w:bottom w:val="single" w:sz="12" w:space="0" w:color="000000"/>
            </w:tcBorders>
            <w:shd w:fill="CCEEFF" w:val="clear"/>
            <w:tcMar>
              <w:bottom w:w="28" w:type="dxa"/>
            </w:tcMar>
            <w:vAlign w:val="bottom"/>
          </w:tcPr>
          <w:p>
            <w:pPr>
              <w:pStyle w:val="TableContents"/>
              <w:bidi w:val="0"/>
              <w:spacing w:before="0" w:after="0"/>
              <w:jc w:val="right"/>
              <w:rPr/>
            </w:pPr>
            <w:r>
              <w:rPr/>
              <w:t>64</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pPr>
            <w:r>
              <w:rPr/>
              <w:t>25</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02" w:type="dxa"/>
            <w:tcBorders>
              <w:bottom w:val="single" w:sz="12" w:space="0" w:color="000000"/>
            </w:tcBorders>
            <w:shd w:fill="CCEEFF" w:val="clear"/>
            <w:tcMar>
              <w:bottom w:w="28" w:type="dxa"/>
            </w:tcMar>
            <w:vAlign w:val="bottom"/>
          </w:tcPr>
          <w:p>
            <w:pPr>
              <w:pStyle w:val="TableContents"/>
              <w:bidi w:val="0"/>
              <w:spacing w:before="0" w:after="0"/>
              <w:jc w:val="right"/>
              <w:rPr/>
            </w:pPr>
            <w:r>
              <w:rPr/>
              <w:t>89</w:t>
            </w:r>
          </w:p>
        </w:tc>
        <w:tc>
          <w:tcPr>
            <w:tcW w:w="9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0"/>
              <w:ind w:left="144" w:right="0" w:hanging="144"/>
              <w:jc w:val="left"/>
              <w:rPr/>
            </w:pPr>
            <w:r>
              <w:rPr/>
              <w:t>Constant FX rates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283"/>
              <w:jc w:val="right"/>
              <w:rPr/>
            </w:pPr>
            <w:r>
              <w:rPr/>
              <w:t> </w:t>
            </w:r>
          </w:p>
        </w:tc>
        <w:tc>
          <w:tcPr>
            <w:tcW w:w="5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283"/>
              <w:jc w:val="right"/>
              <w:rPr/>
            </w:pPr>
            <w:r>
              <w:rPr/>
              <w:t> </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tcMar>
              <w:bottom w:w="28" w:type="dxa"/>
            </w:tcMar>
            <w:vAlign w:val="bottom"/>
          </w:tcPr>
          <w:p>
            <w:pPr>
              <w:pStyle w:val="TableContents"/>
              <w:bidi w:val="0"/>
              <w:spacing w:before="0" w:after="283"/>
              <w:jc w:val="right"/>
              <w:rPr/>
            </w:pPr>
            <w:r>
              <w:rPr/>
              <w:t> </w:t>
            </w:r>
          </w:p>
        </w:tc>
        <w:tc>
          <w:tcPr>
            <w:tcW w:w="33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3" w:type="dxa"/>
            <w:tcBorders>
              <w:bottom w:val="single" w:sz="12" w:space="0" w:color="000000"/>
            </w:tcBorders>
            <w:tcMar>
              <w:bottom w:w="28" w:type="dxa"/>
            </w:tcMar>
            <w:vAlign w:val="bottom"/>
          </w:tcPr>
          <w:p>
            <w:pPr>
              <w:pStyle w:val="TableContents"/>
              <w:bidi w:val="0"/>
              <w:spacing w:before="0" w:after="0"/>
              <w:jc w:val="right"/>
              <w:rPr/>
            </w:pPr>
            <w:r>
              <w:rPr/>
              <w:t>-</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tcMar>
              <w:bottom w:w="28" w:type="dxa"/>
            </w:tcMar>
            <w:vAlign w:val="bottom"/>
          </w:tcPr>
          <w:p>
            <w:pPr>
              <w:pStyle w:val="TableContents"/>
              <w:bidi w:val="0"/>
              <w:spacing w:before="0" w:after="0"/>
              <w:jc w:val="right"/>
              <w:rPr/>
            </w:pPr>
            <w:r>
              <w:rPr/>
              <w:t>2</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2" w:type="dxa"/>
            <w:tcBorders>
              <w:bottom w:val="single" w:sz="12" w:space="0" w:color="000000"/>
            </w:tcBorders>
            <w:tcMar>
              <w:bottom w:w="28" w:type="dxa"/>
            </w:tcMar>
            <w:vAlign w:val="bottom"/>
          </w:tcPr>
          <w:p>
            <w:pPr>
              <w:pStyle w:val="TableContents"/>
              <w:bidi w:val="0"/>
              <w:spacing w:before="0" w:after="0"/>
              <w:jc w:val="right"/>
              <w:rPr/>
            </w:pPr>
            <w:r>
              <w:rPr/>
              <w:t>2</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sz w:val="16"/>
              </w:rPr>
            </w:pPr>
            <w:r>
              <w:rPr>
                <w:b/>
                <w:sz w:val="20"/>
              </w:rPr>
              <w:t xml:space="preserve">Comparable Adjusted EBITDA </w:t>
            </w:r>
            <w:r>
              <w:rPr>
                <w:sz w:val="20"/>
              </w:rPr>
              <w:t>(1)(6)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58</w:t>
            </w:r>
          </w:p>
        </w:tc>
        <w:tc>
          <w:tcPr>
            <w:tcW w:w="5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10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32</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90</w:t>
            </w:r>
          </w:p>
        </w:tc>
        <w:tc>
          <w:tcPr>
            <w:tcW w:w="33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43" w:type="dxa"/>
            <w:tcBorders>
              <w:bottom w:val="single" w:sz="12" w:space="0" w:color="000000"/>
            </w:tcBorders>
            <w:shd w:fill="CCEEFF" w:val="clear"/>
            <w:tcMar>
              <w:bottom w:w="28" w:type="dxa"/>
            </w:tcMar>
            <w:vAlign w:val="bottom"/>
          </w:tcPr>
          <w:p>
            <w:pPr>
              <w:pStyle w:val="TableContents"/>
              <w:bidi w:val="0"/>
              <w:spacing w:before="0" w:after="0"/>
              <w:jc w:val="right"/>
              <w:rPr/>
            </w:pPr>
            <w:r>
              <w:rPr/>
              <w:t>64</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pPr>
            <w:r>
              <w:rPr/>
              <w:t>27</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02" w:type="dxa"/>
            <w:tcBorders>
              <w:bottom w:val="single" w:sz="12" w:space="0" w:color="000000"/>
            </w:tcBorders>
            <w:shd w:fill="CCEEFF" w:val="clear"/>
            <w:tcMar>
              <w:bottom w:w="28" w:type="dxa"/>
            </w:tcMar>
            <w:vAlign w:val="bottom"/>
          </w:tcPr>
          <w:p>
            <w:pPr>
              <w:pStyle w:val="TableContents"/>
              <w:bidi w:val="0"/>
              <w:spacing w:before="0" w:after="0"/>
              <w:jc w:val="right"/>
              <w:rPr/>
            </w:pPr>
            <w:r>
              <w:rPr/>
              <w:t>91</w:t>
            </w:r>
          </w:p>
        </w:tc>
        <w:tc>
          <w:tcPr>
            <w:tcW w:w="9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pPr>
            <w:r>
              <w:rPr/>
              <w:t xml:space="preserve">% vs. prior year comparable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b/>
              </w:rPr>
            </w:pPr>
            <w:r>
              <w:rPr>
                <w:b/>
              </w:rPr>
              <w:t>(9</w:t>
            </w:r>
          </w:p>
        </w:tc>
        <w:tc>
          <w:tcPr>
            <w:tcW w:w="557" w:type="dxa"/>
            <w:tcBorders/>
            <w:vAlign w:val="bottom"/>
          </w:tcPr>
          <w:p>
            <w:pPr>
              <w:pStyle w:val="TableContents"/>
              <w:bidi w:val="0"/>
              <w:spacing w:before="0" w:after="0"/>
              <w:jc w:val="left"/>
              <w:rPr>
                <w:b/>
              </w:rPr>
            </w:pPr>
            <w:r>
              <w:rPr>
                <w:b/>
              </w:rPr>
              <w:t>%)</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b/>
              </w:rPr>
            </w:pPr>
            <w:r>
              <w:rPr>
                <w:b/>
              </w:rPr>
              <w:t>19</w:t>
            </w:r>
          </w:p>
        </w:tc>
        <w:tc>
          <w:tcPr>
            <w:tcW w:w="432" w:type="dxa"/>
            <w:tcBorders/>
            <w:vAlign w:val="bottom"/>
          </w:tcPr>
          <w:p>
            <w:pPr>
              <w:pStyle w:val="TableContents"/>
              <w:bidi w:val="0"/>
              <w:spacing w:before="0" w:after="0"/>
              <w:jc w:val="left"/>
              <w:rPr>
                <w:b/>
              </w:rPr>
            </w:pPr>
            <w:r>
              <w:rPr>
                <w:b/>
              </w:rPr>
              <w:t>%</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b/>
              </w:rPr>
            </w:pPr>
            <w:r>
              <w:rPr>
                <w:b/>
              </w:rPr>
              <w:t>(1</w:t>
            </w:r>
          </w:p>
        </w:tc>
        <w:tc>
          <w:tcPr>
            <w:tcW w:w="335" w:type="dxa"/>
            <w:tcBorders>
              <w:right w:val="single" w:sz="12" w:space="0" w:color="000000"/>
            </w:tcBorders>
            <w:tcMar>
              <w:right w:w="28" w:type="dxa"/>
            </w:tcMar>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 </w:t>
            </w:r>
          </w:p>
        </w:tc>
        <w:tc>
          <w:tcPr>
            <w:tcW w:w="71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Two Quarterly Periods ended March 28, 2026</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933"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Two Quarterly Periods ended March 29, 2025</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Americas</w:t>
            </w:r>
          </w:p>
        </w:tc>
        <w:tc>
          <w:tcPr>
            <w:tcW w:w="5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Rest of World</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gridSpan w:val="2"/>
            <w:tcBorders>
              <w:bottom w:val="single" w:sz="12" w:space="0" w:color="000000"/>
            </w:tcBorders>
            <w:tcMar>
              <w:bottom w:w="28" w:type="dxa"/>
            </w:tcMar>
            <w:vAlign w:val="bottom"/>
          </w:tcPr>
          <w:p>
            <w:pPr>
              <w:pStyle w:val="TableContents"/>
              <w:bidi w:val="0"/>
              <w:spacing w:before="0" w:after="0"/>
              <w:jc w:val="left"/>
              <w:rPr>
                <w:b/>
              </w:rPr>
            </w:pPr>
            <w:r>
              <w:rPr>
                <w:b/>
              </w:rPr>
              <w:t>Total</w:t>
            </w:r>
          </w:p>
        </w:tc>
        <w:tc>
          <w:tcPr>
            <w:tcW w:w="33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7"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Americas</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Rest of World</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LTM</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b/>
              </w:rPr>
            </w:pPr>
            <w:r>
              <w:rPr>
                <w:b/>
              </w:rPr>
              <w:t>Net sales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0"/>
              <w:jc w:val="left"/>
              <w:rPr>
                <w:b/>
              </w:rPr>
            </w:pPr>
            <w:r>
              <w:rPr>
                <w:b/>
              </w:rPr>
              <w:t>$</w:t>
            </w:r>
          </w:p>
        </w:tc>
        <w:tc>
          <w:tcPr>
            <w:tcW w:w="717" w:type="dxa"/>
            <w:tcBorders/>
            <w:shd w:fill="CCEEFF" w:val="clear"/>
            <w:vAlign w:val="bottom"/>
          </w:tcPr>
          <w:p>
            <w:pPr>
              <w:pStyle w:val="TableContents"/>
              <w:bidi w:val="0"/>
              <w:spacing w:before="0" w:after="0"/>
              <w:jc w:val="right"/>
              <w:rPr>
                <w:b/>
              </w:rPr>
            </w:pPr>
            <w:r>
              <w:rPr>
                <w:b/>
              </w:rPr>
              <w:t>877</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0"/>
              <w:jc w:val="left"/>
              <w:rPr>
                <w:b/>
              </w:rPr>
            </w:pPr>
            <w:r>
              <w:rPr>
                <w:b/>
              </w:rPr>
              <w:t>$</w:t>
            </w:r>
          </w:p>
        </w:tc>
        <w:tc>
          <w:tcPr>
            <w:tcW w:w="1057" w:type="dxa"/>
            <w:tcBorders/>
            <w:shd w:fill="CCEEFF" w:val="clear"/>
            <w:vAlign w:val="bottom"/>
          </w:tcPr>
          <w:p>
            <w:pPr>
              <w:pStyle w:val="TableContents"/>
              <w:bidi w:val="0"/>
              <w:spacing w:before="0" w:after="0"/>
              <w:jc w:val="right"/>
              <w:rPr>
                <w:b/>
              </w:rPr>
            </w:pPr>
            <w:r>
              <w:rPr>
                <w:b/>
              </w:rPr>
              <w:t>711</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b/>
              </w:rPr>
            </w:pPr>
            <w:r>
              <w:rPr>
                <w:b/>
              </w:rPr>
              <w:t>$</w:t>
            </w:r>
          </w:p>
        </w:tc>
        <w:tc>
          <w:tcPr>
            <w:tcW w:w="857" w:type="dxa"/>
            <w:tcBorders/>
            <w:shd w:fill="CCEEFF" w:val="clear"/>
            <w:vAlign w:val="bottom"/>
          </w:tcPr>
          <w:p>
            <w:pPr>
              <w:pStyle w:val="TableContents"/>
              <w:bidi w:val="0"/>
              <w:spacing w:before="0" w:after="0"/>
              <w:jc w:val="right"/>
              <w:rPr>
                <w:b/>
              </w:rPr>
            </w:pPr>
            <w:r>
              <w:rPr>
                <w:b/>
              </w:rPr>
              <w:t>1,588</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0"/>
              <w:jc w:val="left"/>
              <w:rPr/>
            </w:pPr>
            <w:r>
              <w:rPr/>
              <w:t>$</w:t>
            </w:r>
          </w:p>
        </w:tc>
        <w:tc>
          <w:tcPr>
            <w:tcW w:w="1243" w:type="dxa"/>
            <w:tcBorders/>
            <w:shd w:fill="CCEEFF" w:val="clear"/>
            <w:vAlign w:val="bottom"/>
          </w:tcPr>
          <w:p>
            <w:pPr>
              <w:pStyle w:val="TableContents"/>
              <w:bidi w:val="0"/>
              <w:spacing w:before="0" w:after="0"/>
              <w:jc w:val="right"/>
              <w:rPr/>
            </w:pPr>
            <w:r>
              <w:rPr/>
              <w:t>893</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0"/>
              <w:jc w:val="left"/>
              <w:rPr/>
            </w:pPr>
            <w:r>
              <w:rPr/>
              <w:t>$</w:t>
            </w:r>
          </w:p>
        </w:tc>
        <w:tc>
          <w:tcPr>
            <w:tcW w:w="941" w:type="dxa"/>
            <w:tcBorders/>
            <w:shd w:fill="CCEEFF" w:val="clear"/>
            <w:vAlign w:val="bottom"/>
          </w:tcPr>
          <w:p>
            <w:pPr>
              <w:pStyle w:val="TableContents"/>
              <w:bidi w:val="0"/>
              <w:spacing w:before="0" w:after="0"/>
              <w:jc w:val="right"/>
              <w:rPr/>
            </w:pPr>
            <w:r>
              <w:rPr/>
              <w:t>633</w:t>
            </w:r>
          </w:p>
        </w:tc>
        <w:tc>
          <w:tcPr>
            <w:tcW w:w="16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pPr>
            <w:r>
              <w:rPr/>
              <w:t>$</w:t>
            </w:r>
          </w:p>
        </w:tc>
        <w:tc>
          <w:tcPr>
            <w:tcW w:w="1002" w:type="dxa"/>
            <w:tcBorders/>
            <w:shd w:fill="CCEEFF" w:val="clear"/>
            <w:vAlign w:val="bottom"/>
          </w:tcPr>
          <w:p>
            <w:pPr>
              <w:pStyle w:val="TableContents"/>
              <w:bidi w:val="0"/>
              <w:spacing w:before="0" w:after="0"/>
              <w:jc w:val="right"/>
              <w:rPr/>
            </w:pPr>
            <w:r>
              <w:rPr/>
              <w:t>1,526</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pPr>
            <w:r>
              <w:rPr/>
              <w:t>Constant FX rates</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0"/>
              <w:jc w:val="right"/>
              <w:rPr/>
            </w:pPr>
            <w:r>
              <w:rPr/>
              <w:t>19</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pPr>
            <w:r>
              <w:rPr/>
              <w:t>65</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0"/>
              <w:jc w:val="right"/>
              <w:rPr/>
            </w:pPr>
            <w:r>
              <w:rPr/>
              <w:t>84</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pPr>
            <w:r>
              <w:rPr/>
              <w:t>GLT prior year</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5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33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bottom"/>
          </w:tcPr>
          <w:p>
            <w:pPr>
              <w:pStyle w:val="TableContents"/>
              <w:bidi w:val="0"/>
              <w:spacing w:before="0" w:after="0"/>
              <w:jc w:val="right"/>
              <w:rPr/>
            </w:pPr>
            <w:r>
              <w:rPr/>
              <w:t>42</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pPr>
            <w:r>
              <w:rPr/>
              <w:t>70</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bottom"/>
          </w:tcPr>
          <w:p>
            <w:pPr>
              <w:pStyle w:val="TableContents"/>
              <w:bidi w:val="0"/>
              <w:spacing w:before="0" w:after="0"/>
              <w:jc w:val="right"/>
              <w:rPr/>
            </w:pPr>
            <w:r>
              <w:rPr/>
              <w:t>112</w:t>
            </w:r>
          </w:p>
        </w:tc>
        <w:tc>
          <w:tcPr>
            <w:tcW w:w="9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gridSpan w:val="2"/>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sz w:val="16"/>
              </w:rPr>
            </w:pPr>
            <w:r>
              <w:rPr>
                <w:b/>
                <w:sz w:val="20"/>
              </w:rPr>
              <w:t xml:space="preserve">Comparable net sales </w:t>
            </w:r>
            <w:r>
              <w:rPr>
                <w:sz w:val="20"/>
              </w:rPr>
              <w:t>(1)(6)</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0"/>
              <w:jc w:val="left"/>
              <w:rPr>
                <w:b/>
              </w:rPr>
            </w:pPr>
            <w:r>
              <w:rPr>
                <w:b/>
              </w:rPr>
              <w:t>$</w:t>
            </w:r>
          </w:p>
        </w:tc>
        <w:tc>
          <w:tcPr>
            <w:tcW w:w="717" w:type="dxa"/>
            <w:tcBorders/>
            <w:vAlign w:val="bottom"/>
          </w:tcPr>
          <w:p>
            <w:pPr>
              <w:pStyle w:val="TableContents"/>
              <w:bidi w:val="0"/>
              <w:spacing w:before="0" w:after="0"/>
              <w:jc w:val="right"/>
              <w:rPr>
                <w:b/>
              </w:rPr>
            </w:pPr>
            <w:r>
              <w:rPr>
                <w:b/>
              </w:rPr>
              <w:t>877</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0"/>
              <w:jc w:val="left"/>
              <w:rPr>
                <w:b/>
              </w:rPr>
            </w:pPr>
            <w:r>
              <w:rPr>
                <w:b/>
              </w:rPr>
              <w:t>$</w:t>
            </w:r>
          </w:p>
        </w:tc>
        <w:tc>
          <w:tcPr>
            <w:tcW w:w="1057" w:type="dxa"/>
            <w:tcBorders/>
            <w:vAlign w:val="bottom"/>
          </w:tcPr>
          <w:p>
            <w:pPr>
              <w:pStyle w:val="TableContents"/>
              <w:bidi w:val="0"/>
              <w:spacing w:before="0" w:after="0"/>
              <w:jc w:val="right"/>
              <w:rPr>
                <w:b/>
              </w:rPr>
            </w:pPr>
            <w:r>
              <w:rPr>
                <w:b/>
              </w:rPr>
              <w:t>711</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b/>
              </w:rPr>
            </w:pPr>
            <w:r>
              <w:rPr>
                <w:b/>
              </w:rPr>
              <w:t>$</w:t>
            </w:r>
          </w:p>
        </w:tc>
        <w:tc>
          <w:tcPr>
            <w:tcW w:w="857" w:type="dxa"/>
            <w:tcBorders/>
            <w:vAlign w:val="bottom"/>
          </w:tcPr>
          <w:p>
            <w:pPr>
              <w:pStyle w:val="TableContents"/>
              <w:bidi w:val="0"/>
              <w:spacing w:before="0" w:after="0"/>
              <w:jc w:val="right"/>
              <w:rPr>
                <w:b/>
              </w:rPr>
            </w:pPr>
            <w:r>
              <w:rPr>
                <w:b/>
              </w:rPr>
              <w:t>1,588</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0"/>
              <w:jc w:val="left"/>
              <w:rPr/>
            </w:pPr>
            <w:r>
              <w:rPr/>
              <w:t>$</w:t>
            </w:r>
          </w:p>
        </w:tc>
        <w:tc>
          <w:tcPr>
            <w:tcW w:w="1243" w:type="dxa"/>
            <w:tcBorders/>
            <w:vAlign w:val="bottom"/>
          </w:tcPr>
          <w:p>
            <w:pPr>
              <w:pStyle w:val="TableContents"/>
              <w:bidi w:val="0"/>
              <w:spacing w:before="0" w:after="0"/>
              <w:jc w:val="right"/>
              <w:rPr/>
            </w:pPr>
            <w:r>
              <w:rPr/>
              <w:t>954</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0"/>
              <w:jc w:val="left"/>
              <w:rPr/>
            </w:pPr>
            <w:r>
              <w:rPr/>
              <w:t>$</w:t>
            </w:r>
          </w:p>
        </w:tc>
        <w:tc>
          <w:tcPr>
            <w:tcW w:w="941" w:type="dxa"/>
            <w:tcBorders/>
            <w:vAlign w:val="bottom"/>
          </w:tcPr>
          <w:p>
            <w:pPr>
              <w:pStyle w:val="TableContents"/>
              <w:bidi w:val="0"/>
              <w:spacing w:before="0" w:after="0"/>
              <w:jc w:val="right"/>
              <w:rPr/>
            </w:pPr>
            <w:r>
              <w:rPr/>
              <w:t>768</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0"/>
              <w:jc w:val="left"/>
              <w:rPr/>
            </w:pPr>
            <w:r>
              <w:rPr/>
              <w:t>$</w:t>
            </w:r>
          </w:p>
        </w:tc>
        <w:tc>
          <w:tcPr>
            <w:tcW w:w="1002" w:type="dxa"/>
            <w:tcBorders/>
            <w:vAlign w:val="bottom"/>
          </w:tcPr>
          <w:p>
            <w:pPr>
              <w:pStyle w:val="TableContents"/>
              <w:bidi w:val="0"/>
              <w:spacing w:before="0" w:after="0"/>
              <w:jc w:val="right"/>
              <w:rPr/>
            </w:pPr>
            <w:r>
              <w:rPr/>
              <w:t>1,722</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b/>
              </w:rPr>
            </w:pPr>
            <w:r>
              <w:rPr>
                <w:b/>
              </w:rPr>
              <w:t>Operating Income</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0"/>
              <w:jc w:val="left"/>
              <w:rPr>
                <w:b/>
              </w:rPr>
            </w:pPr>
            <w:r>
              <w:rPr>
                <w:b/>
              </w:rPr>
              <w:t>$</w:t>
            </w:r>
          </w:p>
        </w:tc>
        <w:tc>
          <w:tcPr>
            <w:tcW w:w="717" w:type="dxa"/>
            <w:tcBorders/>
            <w:vAlign w:val="bottom"/>
          </w:tcPr>
          <w:p>
            <w:pPr>
              <w:pStyle w:val="TableContents"/>
              <w:bidi w:val="0"/>
              <w:spacing w:before="0" w:after="0"/>
              <w:jc w:val="right"/>
              <w:rPr>
                <w:b/>
              </w:rPr>
            </w:pPr>
            <w:r>
              <w:rPr>
                <w:b/>
              </w:rPr>
              <w:t>18</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0"/>
              <w:jc w:val="left"/>
              <w:rPr>
                <w:b/>
              </w:rPr>
            </w:pPr>
            <w:r>
              <w:rPr>
                <w:b/>
              </w:rPr>
              <w:t>$</w:t>
            </w:r>
          </w:p>
        </w:tc>
        <w:tc>
          <w:tcPr>
            <w:tcW w:w="1057" w:type="dxa"/>
            <w:tcBorders/>
            <w:vAlign w:val="bottom"/>
          </w:tcPr>
          <w:p>
            <w:pPr>
              <w:pStyle w:val="TableContents"/>
              <w:bidi w:val="0"/>
              <w:spacing w:before="0" w:after="0"/>
              <w:jc w:val="right"/>
              <w:rPr>
                <w:b/>
              </w:rPr>
            </w:pPr>
            <w:r>
              <w:rPr>
                <w:b/>
              </w:rPr>
              <w:t>13</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b/>
              </w:rPr>
            </w:pPr>
            <w:r>
              <w:rPr>
                <w:b/>
              </w:rPr>
              <w:t>$</w:t>
            </w:r>
          </w:p>
        </w:tc>
        <w:tc>
          <w:tcPr>
            <w:tcW w:w="857" w:type="dxa"/>
            <w:tcBorders/>
            <w:vAlign w:val="bottom"/>
          </w:tcPr>
          <w:p>
            <w:pPr>
              <w:pStyle w:val="TableContents"/>
              <w:bidi w:val="0"/>
              <w:spacing w:before="0" w:after="0"/>
              <w:jc w:val="right"/>
              <w:rPr>
                <w:b/>
              </w:rPr>
            </w:pPr>
            <w:r>
              <w:rPr>
                <w:b/>
              </w:rPr>
              <w:t>31</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0"/>
              <w:jc w:val="left"/>
              <w:rPr/>
            </w:pPr>
            <w:r>
              <w:rPr/>
              <w:t>$</w:t>
            </w:r>
          </w:p>
        </w:tc>
        <w:tc>
          <w:tcPr>
            <w:tcW w:w="1243" w:type="dxa"/>
            <w:tcBorders/>
            <w:vAlign w:val="bottom"/>
          </w:tcPr>
          <w:p>
            <w:pPr>
              <w:pStyle w:val="TableContents"/>
              <w:bidi w:val="0"/>
              <w:spacing w:before="0" w:after="0"/>
              <w:jc w:val="right"/>
              <w:rPr/>
            </w:pPr>
            <w:r>
              <w:rPr/>
              <w:t>1</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0"/>
              <w:jc w:val="left"/>
              <w:rPr/>
            </w:pPr>
            <w:r>
              <w:rPr/>
              <w:t>$</w:t>
            </w:r>
          </w:p>
        </w:tc>
        <w:tc>
          <w:tcPr>
            <w:tcW w:w="941" w:type="dxa"/>
            <w:tcBorders/>
            <w:vAlign w:val="bottom"/>
          </w:tcPr>
          <w:p>
            <w:pPr>
              <w:pStyle w:val="TableContents"/>
              <w:bidi w:val="0"/>
              <w:spacing w:before="0" w:after="0"/>
              <w:jc w:val="right"/>
              <w:rPr/>
            </w:pPr>
            <w:r>
              <w:rPr/>
              <w:t>(19</w:t>
            </w:r>
          </w:p>
        </w:tc>
        <w:tc>
          <w:tcPr>
            <w:tcW w:w="169" w:type="dxa"/>
            <w:tcBorders/>
            <w:vAlign w:val="bottom"/>
          </w:tcPr>
          <w:p>
            <w:pPr>
              <w:pStyle w:val="TableContents"/>
              <w:bidi w:val="0"/>
              <w:spacing w:before="0" w:after="0"/>
              <w:jc w:val="left"/>
              <w:rPr/>
            </w:pPr>
            <w:r>
              <w:rPr/>
              <w:t>)</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0"/>
              <w:jc w:val="left"/>
              <w:rPr/>
            </w:pPr>
            <w:r>
              <w:rPr/>
              <w:t>$</w:t>
            </w:r>
          </w:p>
        </w:tc>
        <w:tc>
          <w:tcPr>
            <w:tcW w:w="1002" w:type="dxa"/>
            <w:tcBorders/>
            <w:vAlign w:val="bottom"/>
          </w:tcPr>
          <w:p>
            <w:pPr>
              <w:pStyle w:val="TableContents"/>
              <w:bidi w:val="0"/>
              <w:spacing w:before="0" w:after="0"/>
              <w:jc w:val="right"/>
              <w:rPr/>
            </w:pPr>
            <w:r>
              <w:rPr/>
              <w:t>(18</w:t>
            </w:r>
          </w:p>
        </w:tc>
        <w:tc>
          <w:tcPr>
            <w:tcW w:w="95" w:type="dxa"/>
            <w:tcBorders>
              <w:right w:val="single" w:sz="12" w:space="0" w:color="000000"/>
            </w:tcBorders>
            <w:tcMar>
              <w:right w:w="28" w:type="dxa"/>
            </w:tcMar>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0"/>
              <w:jc w:val="left"/>
              <w:rPr/>
            </w:pPr>
            <w:r>
              <w:rPr/>
              <w:t>$</w:t>
            </w:r>
          </w:p>
        </w:tc>
        <w:tc>
          <w:tcPr>
            <w:tcW w:w="421" w:type="dxa"/>
            <w:tcBorders/>
            <w:vAlign w:val="bottom"/>
          </w:tcPr>
          <w:p>
            <w:pPr>
              <w:pStyle w:val="TableContents"/>
              <w:bidi w:val="0"/>
              <w:spacing w:before="0" w:after="0"/>
              <w:jc w:val="right"/>
              <w:rPr/>
            </w:pPr>
            <w:r>
              <w:rPr/>
              <w:t>54</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b/>
              </w:rPr>
            </w:pPr>
            <w:r>
              <w:rPr>
                <w:b/>
              </w:rPr>
              <w:t>63</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0"/>
              <w:jc w:val="right"/>
              <w:rPr>
                <w:b/>
              </w:rPr>
            </w:pPr>
            <w:r>
              <w:rPr>
                <w:b/>
              </w:rPr>
              <w:t>37</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0"/>
              <w:jc w:val="right"/>
              <w:rPr>
                <w:b/>
              </w:rPr>
            </w:pPr>
            <w:r>
              <w:rPr>
                <w:b/>
              </w:rPr>
              <w:t>100</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0"/>
              <w:jc w:val="right"/>
              <w:rPr/>
            </w:pPr>
            <w:r>
              <w:rPr/>
              <w:t>72</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pPr>
            <w:r>
              <w:rPr/>
              <w:t>39</w:t>
            </w:r>
          </w:p>
        </w:tc>
        <w:tc>
          <w:tcPr>
            <w:tcW w:w="16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0"/>
              <w:jc w:val="right"/>
              <w:rPr/>
            </w:pPr>
            <w:r>
              <w:rPr/>
              <w:t>111</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0"/>
              <w:jc w:val="right"/>
              <w:rPr/>
            </w:pPr>
            <w:r>
              <w:rPr/>
              <w:t>195</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pPr>
            <w:r>
              <w:rPr/>
              <w:t>Integration, business consolidation and other activities (2)</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b/>
              </w:rPr>
            </w:pPr>
            <w:r>
              <w:rPr>
                <w:b/>
              </w:rPr>
              <w:t>26</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b/>
              </w:rPr>
            </w:pPr>
            <w:r>
              <w:rPr>
                <w:b/>
              </w:rPr>
              <w:t>10</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b/>
              </w:rPr>
            </w:pPr>
            <w:r>
              <w:rPr>
                <w:b/>
              </w:rPr>
              <w:t>36</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0"/>
              <w:jc w:val="right"/>
              <w:rPr/>
            </w:pPr>
            <w:r>
              <w:rPr/>
              <w:t>34</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pPr>
            <w:r>
              <w:rPr/>
              <w:t>17</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0"/>
              <w:jc w:val="right"/>
              <w:rPr/>
            </w:pPr>
            <w:r>
              <w:rPr/>
              <w:t>51</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0"/>
              <w:jc w:val="right"/>
              <w:rPr/>
            </w:pPr>
            <w:r>
              <w:rPr/>
              <w:t>79</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pPr>
            <w:r>
              <w:rPr/>
              <w:t>Argentina hyperinflation</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b/>
              </w:rPr>
            </w:pPr>
            <w:r>
              <w:rPr>
                <w:b/>
              </w:rPr>
              <w:t>3</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0"/>
              <w:jc w:val="right"/>
              <w:rPr>
                <w:b/>
              </w:rPr>
            </w:pPr>
            <w:r>
              <w:rPr>
                <w:b/>
              </w:rPr>
              <w:t>-</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0"/>
              <w:jc w:val="right"/>
              <w:rPr>
                <w:b/>
              </w:rPr>
            </w:pPr>
            <w:r>
              <w:rPr>
                <w:b/>
              </w:rPr>
              <w:t>3</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0"/>
              <w:jc w:val="right"/>
              <w:rPr/>
            </w:pPr>
            <w:r>
              <w:rPr/>
              <w:t>-</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pPr>
            <w:r>
              <w:rPr/>
              <w:t>-</w:t>
            </w:r>
          </w:p>
        </w:tc>
        <w:tc>
          <w:tcPr>
            <w:tcW w:w="16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0"/>
              <w:jc w:val="right"/>
              <w:rPr/>
            </w:pPr>
            <w:r>
              <w:rPr/>
              <w:t>-</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0"/>
              <w:jc w:val="right"/>
              <w:rPr/>
            </w:pPr>
            <w:r>
              <w:rPr/>
              <w:t>7</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pPr>
            <w:r>
              <w:rPr/>
              <w:t>GAAP carve-out allocation (3)</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b/>
              </w:rPr>
            </w:pPr>
            <w:r>
              <w:rPr>
                <w:b/>
              </w:rPr>
              <w:t>-</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b/>
              </w:rPr>
            </w:pPr>
            <w:r>
              <w:rPr>
                <w:b/>
              </w:rPr>
              <w:t>-</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b/>
              </w:rPr>
            </w:pPr>
            <w:r>
              <w:rPr>
                <w:b/>
              </w:rPr>
              <w:t>-</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0"/>
              <w:jc w:val="right"/>
              <w:rPr/>
            </w:pPr>
            <w:r>
              <w:rPr/>
              <w:t>2</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pPr>
            <w:r>
              <w:rPr/>
              <w:t>1</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0"/>
              <w:jc w:val="right"/>
              <w:rPr/>
            </w:pPr>
            <w:r>
              <w:rPr/>
              <w:t>3</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pPr>
            <w:r>
              <w:rPr/>
              <w:t>Other non-cash charges (4)(5)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6</w:t>
            </w:r>
          </w:p>
        </w:tc>
        <w:tc>
          <w:tcPr>
            <w:tcW w:w="5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7</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13</w:t>
            </w:r>
          </w:p>
        </w:tc>
        <w:tc>
          <w:tcPr>
            <w:tcW w:w="33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bottom"/>
          </w:tcPr>
          <w:p>
            <w:pPr>
              <w:pStyle w:val="TableContents"/>
              <w:bidi w:val="0"/>
              <w:spacing w:before="0" w:after="0"/>
              <w:jc w:val="right"/>
              <w:rPr/>
            </w:pPr>
            <w:r>
              <w:rPr/>
              <w:t>11</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pPr>
            <w:r>
              <w:rPr/>
              <w:t>15</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bottom"/>
          </w:tcPr>
          <w:p>
            <w:pPr>
              <w:pStyle w:val="TableContents"/>
              <w:bidi w:val="0"/>
              <w:spacing w:before="0" w:after="0"/>
              <w:jc w:val="right"/>
              <w:rPr/>
            </w:pPr>
            <w:r>
              <w:rPr/>
              <w:t>26</w:t>
            </w:r>
          </w:p>
        </w:tc>
        <w:tc>
          <w:tcPr>
            <w:tcW w:w="9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1" w:type="dxa"/>
            <w:tcBorders>
              <w:bottom w:val="single" w:sz="12" w:space="0" w:color="000000"/>
            </w:tcBorders>
            <w:shd w:fill="CCEEFF" w:val="clear"/>
            <w:tcMar>
              <w:bottom w:w="28" w:type="dxa"/>
            </w:tcMar>
            <w:vAlign w:val="bottom"/>
          </w:tcPr>
          <w:p>
            <w:pPr>
              <w:pStyle w:val="TableContents"/>
              <w:bidi w:val="0"/>
              <w:spacing w:before="0" w:after="0"/>
              <w:jc w:val="right"/>
              <w:rPr/>
            </w:pPr>
            <w:r>
              <w:rPr/>
              <w:t>29</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0"/>
              <w:ind w:left="144" w:right="0" w:hanging="144"/>
              <w:jc w:val="left"/>
              <w:rPr>
                <w:sz w:val="16"/>
              </w:rPr>
            </w:pPr>
            <w:r>
              <w:rPr>
                <w:b/>
                <w:sz w:val="20"/>
              </w:rPr>
              <w:t xml:space="preserve">Adjusted EBITDA </w:t>
            </w:r>
            <w:r>
              <w:rPr>
                <w:sz w:val="20"/>
              </w:rPr>
              <w:t>(1)</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717" w:type="dxa"/>
            <w:tcBorders>
              <w:bottom w:val="single" w:sz="12" w:space="0" w:color="000000"/>
            </w:tcBorders>
            <w:tcMar>
              <w:bottom w:w="28" w:type="dxa"/>
            </w:tcMar>
            <w:vAlign w:val="bottom"/>
          </w:tcPr>
          <w:p>
            <w:pPr>
              <w:pStyle w:val="TableContents"/>
              <w:bidi w:val="0"/>
              <w:spacing w:before="0" w:after="0"/>
              <w:jc w:val="right"/>
              <w:rPr>
                <w:b/>
              </w:rPr>
            </w:pPr>
            <w:r>
              <w:rPr>
                <w:b/>
              </w:rPr>
              <w:t>116</w:t>
            </w:r>
          </w:p>
        </w:tc>
        <w:tc>
          <w:tcPr>
            <w:tcW w:w="5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1057" w:type="dxa"/>
            <w:tcBorders>
              <w:bottom w:val="single" w:sz="12" w:space="0" w:color="000000"/>
            </w:tcBorders>
            <w:tcMar>
              <w:bottom w:w="28" w:type="dxa"/>
            </w:tcMar>
            <w:vAlign w:val="bottom"/>
          </w:tcPr>
          <w:p>
            <w:pPr>
              <w:pStyle w:val="TableContents"/>
              <w:bidi w:val="0"/>
              <w:spacing w:before="0" w:after="0"/>
              <w:jc w:val="right"/>
              <w:rPr>
                <w:b/>
              </w:rPr>
            </w:pPr>
            <w:r>
              <w:rPr>
                <w:b/>
              </w:rPr>
              <w:t>67</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857" w:type="dxa"/>
            <w:tcBorders>
              <w:bottom w:val="single" w:sz="12" w:space="0" w:color="000000"/>
            </w:tcBorders>
            <w:tcMar>
              <w:bottom w:w="28" w:type="dxa"/>
            </w:tcMar>
            <w:vAlign w:val="bottom"/>
          </w:tcPr>
          <w:p>
            <w:pPr>
              <w:pStyle w:val="TableContents"/>
              <w:bidi w:val="0"/>
              <w:spacing w:before="0" w:after="0"/>
              <w:jc w:val="right"/>
              <w:rPr>
                <w:b/>
              </w:rPr>
            </w:pPr>
            <w:r>
              <w:rPr>
                <w:b/>
              </w:rPr>
              <w:t>183</w:t>
            </w:r>
          </w:p>
        </w:tc>
        <w:tc>
          <w:tcPr>
            <w:tcW w:w="33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0"/>
              <w:jc w:val="left"/>
              <w:rPr/>
            </w:pPr>
            <w:r>
              <w:rPr/>
              <w:t>$</w:t>
            </w:r>
          </w:p>
        </w:tc>
        <w:tc>
          <w:tcPr>
            <w:tcW w:w="1243" w:type="dxa"/>
            <w:tcBorders>
              <w:bottom w:val="single" w:sz="12" w:space="0" w:color="000000"/>
            </w:tcBorders>
            <w:tcMar>
              <w:bottom w:w="28" w:type="dxa"/>
            </w:tcMar>
            <w:vAlign w:val="bottom"/>
          </w:tcPr>
          <w:p>
            <w:pPr>
              <w:pStyle w:val="TableContents"/>
              <w:bidi w:val="0"/>
              <w:spacing w:before="0" w:after="0"/>
              <w:jc w:val="right"/>
              <w:rPr/>
            </w:pPr>
            <w:r>
              <w:rPr/>
              <w:t>120</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0"/>
              <w:jc w:val="left"/>
              <w:rPr/>
            </w:pPr>
            <w:r>
              <w:rPr/>
              <w:t>$</w:t>
            </w:r>
          </w:p>
        </w:tc>
        <w:tc>
          <w:tcPr>
            <w:tcW w:w="941" w:type="dxa"/>
            <w:tcBorders>
              <w:bottom w:val="single" w:sz="12" w:space="0" w:color="000000"/>
            </w:tcBorders>
            <w:tcMar>
              <w:bottom w:w="28" w:type="dxa"/>
            </w:tcMar>
            <w:vAlign w:val="bottom"/>
          </w:tcPr>
          <w:p>
            <w:pPr>
              <w:pStyle w:val="TableContents"/>
              <w:bidi w:val="0"/>
              <w:spacing w:before="0" w:after="0"/>
              <w:jc w:val="right"/>
              <w:rPr/>
            </w:pPr>
            <w:r>
              <w:rPr/>
              <w:t>53</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0"/>
              <w:jc w:val="left"/>
              <w:rPr/>
            </w:pPr>
            <w:r>
              <w:rPr/>
              <w:t>$</w:t>
            </w:r>
          </w:p>
        </w:tc>
        <w:tc>
          <w:tcPr>
            <w:tcW w:w="1002" w:type="dxa"/>
            <w:tcBorders>
              <w:bottom w:val="single" w:sz="12" w:space="0" w:color="000000"/>
            </w:tcBorders>
            <w:tcMar>
              <w:bottom w:w="28" w:type="dxa"/>
            </w:tcMar>
            <w:vAlign w:val="bottom"/>
          </w:tcPr>
          <w:p>
            <w:pPr>
              <w:pStyle w:val="TableContents"/>
              <w:bidi w:val="0"/>
              <w:spacing w:before="0" w:after="0"/>
              <w:jc w:val="right"/>
              <w:rPr/>
            </w:pPr>
            <w:r>
              <w:rPr/>
              <w:t>173</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0"/>
              <w:jc w:val="left"/>
              <w:rPr/>
            </w:pPr>
            <w:r>
              <w:rPr/>
              <w:t>$</w:t>
            </w:r>
          </w:p>
        </w:tc>
        <w:tc>
          <w:tcPr>
            <w:tcW w:w="421" w:type="dxa"/>
            <w:tcBorders>
              <w:bottom w:val="single" w:sz="12" w:space="0" w:color="000000"/>
            </w:tcBorders>
            <w:tcMar>
              <w:bottom w:w="28" w:type="dxa"/>
            </w:tcMar>
            <w:vAlign w:val="bottom"/>
          </w:tcPr>
          <w:p>
            <w:pPr>
              <w:pStyle w:val="TableContents"/>
              <w:bidi w:val="0"/>
              <w:spacing w:before="0" w:after="0"/>
              <w:jc w:val="right"/>
              <w:rPr/>
            </w:pPr>
            <w:r>
              <w:rPr/>
              <w:t>364</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pPr>
            <w:r>
              <w:rPr/>
              <w:t>Constant FX rates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33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0"/>
              <w:jc w:val="right"/>
              <w:rPr/>
            </w:pPr>
            <w:r>
              <w:rPr/>
              <w:t>-</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pPr>
            <w:r>
              <w:rPr/>
              <w:t>3</w:t>
            </w:r>
          </w:p>
        </w:tc>
        <w:tc>
          <w:tcPr>
            <w:tcW w:w="16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0"/>
              <w:jc w:val="right"/>
              <w:rPr/>
            </w:pPr>
            <w:r>
              <w:rPr/>
              <w:t>3</w:t>
            </w:r>
          </w:p>
        </w:tc>
        <w:tc>
          <w:tcPr>
            <w:tcW w:w="9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0"/>
              <w:ind w:left="144" w:right="0" w:hanging="144"/>
              <w:jc w:val="left"/>
              <w:rPr/>
            </w:pPr>
            <w:r>
              <w:rPr/>
              <w:t>GLT prior year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283"/>
              <w:jc w:val="right"/>
              <w:rPr/>
            </w:pPr>
            <w:r>
              <w:rPr/>
              <w:t> </w:t>
            </w:r>
          </w:p>
        </w:tc>
        <w:tc>
          <w:tcPr>
            <w:tcW w:w="5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283"/>
              <w:jc w:val="right"/>
              <w:rPr/>
            </w:pPr>
            <w:r>
              <w:rPr/>
              <w:t> </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tcMar>
              <w:bottom w:w="28" w:type="dxa"/>
            </w:tcMar>
            <w:vAlign w:val="bottom"/>
          </w:tcPr>
          <w:p>
            <w:pPr>
              <w:pStyle w:val="TableContents"/>
              <w:bidi w:val="0"/>
              <w:spacing w:before="0" w:after="283"/>
              <w:jc w:val="right"/>
              <w:rPr/>
            </w:pPr>
            <w:r>
              <w:rPr/>
              <w:t> </w:t>
            </w:r>
          </w:p>
        </w:tc>
        <w:tc>
          <w:tcPr>
            <w:tcW w:w="33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3" w:type="dxa"/>
            <w:tcBorders>
              <w:bottom w:val="single" w:sz="12" w:space="0" w:color="000000"/>
            </w:tcBorders>
            <w:tcMar>
              <w:bottom w:w="28" w:type="dxa"/>
            </w:tcMar>
            <w:vAlign w:val="bottom"/>
          </w:tcPr>
          <w:p>
            <w:pPr>
              <w:pStyle w:val="TableContents"/>
              <w:bidi w:val="0"/>
              <w:spacing w:before="0" w:after="0"/>
              <w:jc w:val="right"/>
              <w:rPr/>
            </w:pPr>
            <w:r>
              <w:rPr/>
              <w:t>5</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tcMar>
              <w:bottom w:w="28" w:type="dxa"/>
            </w:tcMar>
            <w:vAlign w:val="bottom"/>
          </w:tcPr>
          <w:p>
            <w:pPr>
              <w:pStyle w:val="TableContents"/>
              <w:bidi w:val="0"/>
              <w:spacing w:before="0" w:after="0"/>
              <w:jc w:val="right"/>
              <w:rPr/>
            </w:pPr>
            <w:r>
              <w:rPr/>
              <w:t>3</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2" w:type="dxa"/>
            <w:tcBorders>
              <w:bottom w:val="single" w:sz="12" w:space="0" w:color="000000"/>
            </w:tcBorders>
            <w:tcMar>
              <w:bottom w:w="28" w:type="dxa"/>
            </w:tcMar>
            <w:vAlign w:val="bottom"/>
          </w:tcPr>
          <w:p>
            <w:pPr>
              <w:pStyle w:val="TableContents"/>
              <w:bidi w:val="0"/>
              <w:spacing w:before="0" w:after="0"/>
              <w:jc w:val="right"/>
              <w:rPr/>
            </w:pPr>
            <w:r>
              <w:rPr/>
              <w:t>8</w:t>
            </w:r>
          </w:p>
        </w:tc>
        <w:tc>
          <w:tcPr>
            <w:tcW w:w="9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421" w:type="dxa"/>
            <w:tcBorders>
              <w:bottom w:val="single" w:sz="12" w:space="0" w:color="000000"/>
            </w:tcBorders>
            <w:tcMar>
              <w:bottom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sz w:val="16"/>
              </w:rPr>
            </w:pPr>
            <w:r>
              <w:rPr>
                <w:b/>
                <w:sz w:val="20"/>
              </w:rPr>
              <w:t xml:space="preserve">Comparable Adjusted EBITDA </w:t>
            </w:r>
            <w:r>
              <w:rPr>
                <w:sz w:val="20"/>
              </w:rPr>
              <w:t>(1)(6)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116</w:t>
            </w:r>
          </w:p>
        </w:tc>
        <w:tc>
          <w:tcPr>
            <w:tcW w:w="5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10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67</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b/>
              </w:rPr>
            </w:pPr>
            <w:r>
              <w:rPr>
                <w:b/>
              </w:rPr>
              <w:t>$</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183</w:t>
            </w:r>
          </w:p>
        </w:tc>
        <w:tc>
          <w:tcPr>
            <w:tcW w:w="33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43" w:type="dxa"/>
            <w:tcBorders>
              <w:bottom w:val="single" w:sz="12" w:space="0" w:color="000000"/>
            </w:tcBorders>
            <w:shd w:fill="CCEEFF" w:val="clear"/>
            <w:tcMar>
              <w:bottom w:w="28" w:type="dxa"/>
            </w:tcMar>
            <w:vAlign w:val="bottom"/>
          </w:tcPr>
          <w:p>
            <w:pPr>
              <w:pStyle w:val="TableContents"/>
              <w:bidi w:val="0"/>
              <w:spacing w:before="0" w:after="0"/>
              <w:jc w:val="right"/>
              <w:rPr/>
            </w:pPr>
            <w:r>
              <w:rPr/>
              <w:t>125</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pPr>
            <w:r>
              <w:rPr/>
              <w:t>59</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02" w:type="dxa"/>
            <w:tcBorders>
              <w:bottom w:val="single" w:sz="12" w:space="0" w:color="000000"/>
            </w:tcBorders>
            <w:shd w:fill="CCEEFF" w:val="clear"/>
            <w:tcMar>
              <w:bottom w:w="28" w:type="dxa"/>
            </w:tcMar>
            <w:vAlign w:val="bottom"/>
          </w:tcPr>
          <w:p>
            <w:pPr>
              <w:pStyle w:val="TableContents"/>
              <w:bidi w:val="0"/>
              <w:spacing w:before="0" w:after="0"/>
              <w:jc w:val="right"/>
              <w:rPr/>
            </w:pPr>
            <w:r>
              <w:rPr/>
              <w:t>184</w:t>
            </w:r>
          </w:p>
        </w:tc>
        <w:tc>
          <w:tcPr>
            <w:tcW w:w="9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1"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pPr>
            <w:r>
              <w:rPr/>
              <w:t xml:space="preserve">% vs. prior year comparable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b/>
              </w:rPr>
            </w:pPr>
            <w:r>
              <w:rPr>
                <w:b/>
              </w:rPr>
              <w:t>(7</w:t>
            </w:r>
          </w:p>
        </w:tc>
        <w:tc>
          <w:tcPr>
            <w:tcW w:w="557" w:type="dxa"/>
            <w:tcBorders/>
            <w:vAlign w:val="bottom"/>
          </w:tcPr>
          <w:p>
            <w:pPr>
              <w:pStyle w:val="TableContents"/>
              <w:bidi w:val="0"/>
              <w:spacing w:before="0" w:after="0"/>
              <w:jc w:val="left"/>
              <w:rPr>
                <w:b/>
              </w:rPr>
            </w:pPr>
            <w:r>
              <w:rPr>
                <w:b/>
              </w:rPr>
              <w:t>%)</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b/>
              </w:rPr>
            </w:pPr>
            <w:r>
              <w:rPr>
                <w:b/>
              </w:rPr>
              <w:t>14</w:t>
            </w:r>
          </w:p>
        </w:tc>
        <w:tc>
          <w:tcPr>
            <w:tcW w:w="432" w:type="dxa"/>
            <w:tcBorders/>
            <w:vAlign w:val="bottom"/>
          </w:tcPr>
          <w:p>
            <w:pPr>
              <w:pStyle w:val="TableContents"/>
              <w:bidi w:val="0"/>
              <w:spacing w:before="0" w:after="0"/>
              <w:jc w:val="left"/>
              <w:rPr>
                <w:b/>
              </w:rPr>
            </w:pPr>
            <w:r>
              <w:rPr>
                <w:b/>
              </w:rPr>
              <w:t>%</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b/>
              </w:rPr>
            </w:pPr>
            <w:r>
              <w:rPr>
                <w:b/>
              </w:rPr>
              <w:t>(1</w:t>
            </w:r>
          </w:p>
        </w:tc>
        <w:tc>
          <w:tcPr>
            <w:tcW w:w="335" w:type="dxa"/>
            <w:tcBorders>
              <w:right w:val="single" w:sz="12" w:space="0" w:color="000000"/>
            </w:tcBorders>
            <w:tcMar>
              <w:right w:w="28" w:type="dxa"/>
            </w:tcMar>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pPr>
            <w:r>
              <w:rPr/>
              <w:t>Synergies and cost reductions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5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33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1" w:type="dxa"/>
            <w:tcBorders>
              <w:bottom w:val="single" w:sz="12" w:space="0" w:color="000000"/>
            </w:tcBorders>
            <w:shd w:fill="CCEEFF" w:val="clear"/>
            <w:tcMar>
              <w:bottom w:w="28" w:type="dxa"/>
            </w:tcMar>
            <w:vAlign w:val="bottom"/>
          </w:tcPr>
          <w:p>
            <w:pPr>
              <w:pStyle w:val="TableContents"/>
              <w:bidi w:val="0"/>
              <w:spacing w:before="0" w:after="0"/>
              <w:jc w:val="right"/>
              <w:rPr/>
            </w:pPr>
            <w:r>
              <w:rPr/>
              <w:t>48</w:t>
            </w:r>
          </w:p>
        </w:tc>
        <w:tc>
          <w:tcPr>
            <w:tcW w:w="6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44" w:right="0" w:hanging="144"/>
              <w:jc w:val="left"/>
              <w:rPr>
                <w:b/>
              </w:rPr>
            </w:pPr>
            <w:r>
              <w:rPr>
                <w:b/>
              </w:rPr>
              <w:t>PF Adjusted EBITDA</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0"/>
              <w:jc w:val="left"/>
              <w:rPr/>
            </w:pPr>
            <w:r>
              <w:rPr/>
              <w:t>$</w:t>
            </w:r>
          </w:p>
        </w:tc>
        <w:tc>
          <w:tcPr>
            <w:tcW w:w="421" w:type="dxa"/>
            <w:tcBorders/>
            <w:vAlign w:val="bottom"/>
          </w:tcPr>
          <w:p>
            <w:pPr>
              <w:pStyle w:val="TableContents"/>
              <w:bidi w:val="0"/>
              <w:spacing w:before="0" w:after="0"/>
              <w:jc w:val="right"/>
              <w:rPr/>
            </w:pPr>
            <w:r>
              <w:rPr/>
              <w:t>412</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5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1" w:type="dxa"/>
            <w:gridSpan w:val="6"/>
            <w:tcBorders/>
            <w:vAlign w:val="bottom"/>
          </w:tcPr>
          <w:p>
            <w:pPr>
              <w:pStyle w:val="TableContents"/>
              <w:bidi w:val="0"/>
              <w:spacing w:before="0" w:after="0"/>
              <w:jc w:val="center"/>
              <w:rPr>
                <w:b/>
              </w:rPr>
            </w:pPr>
            <w:r>
              <w:rPr>
                <w:b/>
              </w:rPr>
              <w:t>March 28, 2026</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Quarter</w:t>
            </w:r>
          </w:p>
        </w:tc>
        <w:tc>
          <w:tcPr>
            <w:tcW w:w="5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Year-to-date</w:t>
            </w:r>
          </w:p>
        </w:tc>
        <w:tc>
          <w:tcPr>
            <w:tcW w:w="432"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pPr>
            <w:r>
              <w:rPr/>
              <w:t>Cash from operations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0"/>
              <w:jc w:val="left"/>
              <w:rPr>
                <w:b/>
              </w:rPr>
            </w:pPr>
            <w:r>
              <w:rPr>
                <w:b/>
              </w:rPr>
              <w:t>$</w:t>
            </w:r>
          </w:p>
        </w:tc>
        <w:tc>
          <w:tcPr>
            <w:tcW w:w="717" w:type="dxa"/>
            <w:tcBorders/>
            <w:shd w:fill="CCEEFF" w:val="clear"/>
            <w:vAlign w:val="bottom"/>
          </w:tcPr>
          <w:p>
            <w:pPr>
              <w:pStyle w:val="TableContents"/>
              <w:bidi w:val="0"/>
              <w:spacing w:before="0" w:after="0"/>
              <w:jc w:val="right"/>
              <w:rPr>
                <w:b/>
              </w:rPr>
            </w:pPr>
            <w:r>
              <w:rPr>
                <w:b/>
              </w:rPr>
              <w:t>87</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0"/>
              <w:jc w:val="left"/>
              <w:rPr>
                <w:b/>
              </w:rPr>
            </w:pPr>
            <w:r>
              <w:rPr>
                <w:b/>
              </w:rPr>
              <w:t>$</w:t>
            </w:r>
          </w:p>
        </w:tc>
        <w:tc>
          <w:tcPr>
            <w:tcW w:w="1057" w:type="dxa"/>
            <w:tcBorders/>
            <w:shd w:fill="CCEEFF" w:val="clear"/>
            <w:vAlign w:val="bottom"/>
          </w:tcPr>
          <w:p>
            <w:pPr>
              <w:pStyle w:val="TableContents"/>
              <w:bidi w:val="0"/>
              <w:spacing w:before="0" w:after="0"/>
              <w:jc w:val="right"/>
              <w:rPr>
                <w:b/>
              </w:rPr>
            </w:pPr>
            <w:r>
              <w:rPr>
                <w:b/>
              </w:rPr>
              <w:t>89</w:t>
            </w:r>
          </w:p>
        </w:tc>
        <w:tc>
          <w:tcPr>
            <w:tcW w:w="432" w:type="dxa"/>
            <w:tcBorders/>
            <w:shd w:fill="CCEEFF" w:val="cle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bottom"/>
          </w:tcPr>
          <w:p>
            <w:pPr>
              <w:pStyle w:val="TableContents"/>
              <w:bidi w:val="0"/>
              <w:spacing w:before="0" w:after="0"/>
              <w:ind w:left="144" w:right="0" w:hanging="144"/>
              <w:jc w:val="left"/>
              <w:rPr/>
            </w:pPr>
            <w:r>
              <w:rPr/>
              <w:t>Additions to property, plant and equipment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0"/>
              <w:jc w:val="right"/>
              <w:rPr>
                <w:b/>
              </w:rPr>
            </w:pPr>
            <w:r>
              <w:rPr>
                <w:b/>
              </w:rPr>
              <w:t>(14</w:t>
            </w:r>
          </w:p>
        </w:tc>
        <w:tc>
          <w:tcPr>
            <w:tcW w:w="557"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3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0"/>
              <w:jc w:val="right"/>
              <w:rPr>
                <w:b/>
              </w:rPr>
            </w:pPr>
            <w:r>
              <w:rPr>
                <w:b/>
              </w:rPr>
              <w:t>(29</w:t>
            </w:r>
          </w:p>
        </w:tc>
        <w:tc>
          <w:tcPr>
            <w:tcW w:w="432" w:type="dxa"/>
            <w:tcBorders/>
            <w:vAlign w:val="bottom"/>
          </w:tcPr>
          <w:p>
            <w:pPr>
              <w:pStyle w:val="TableContents"/>
              <w:bidi w:val="0"/>
              <w:spacing w:before="0" w:after="0"/>
              <w:jc w:val="left"/>
              <w:rPr>
                <w:b/>
              </w:rPr>
            </w:pPr>
            <w:r>
              <w:rPr>
                <w:b/>
              </w:rPr>
              <w:t>)</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44" w:right="0" w:hanging="144"/>
              <w:jc w:val="left"/>
              <w:rPr>
                <w:b/>
              </w:rPr>
            </w:pPr>
            <w:r>
              <w:rPr>
                <w:b/>
              </w:rPr>
              <w:t>Free Cash Flow</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0"/>
              <w:jc w:val="left"/>
              <w:rPr>
                <w:b/>
              </w:rPr>
            </w:pPr>
            <w:r>
              <w:rPr>
                <w:b/>
              </w:rPr>
              <w:t>$</w:t>
            </w:r>
          </w:p>
        </w:tc>
        <w:tc>
          <w:tcPr>
            <w:tcW w:w="717" w:type="dxa"/>
            <w:tcBorders/>
            <w:shd w:fill="CCEEFF" w:val="clear"/>
            <w:vAlign w:val="bottom"/>
          </w:tcPr>
          <w:p>
            <w:pPr>
              <w:pStyle w:val="TableContents"/>
              <w:bidi w:val="0"/>
              <w:spacing w:before="0" w:after="0"/>
              <w:jc w:val="right"/>
              <w:rPr>
                <w:b/>
              </w:rPr>
            </w:pPr>
            <w:r>
              <w:rPr>
                <w:b/>
              </w:rPr>
              <w:t>73</w:t>
            </w:r>
          </w:p>
        </w:tc>
        <w:tc>
          <w:tcPr>
            <w:tcW w:w="5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0"/>
              <w:jc w:val="left"/>
              <w:rPr>
                <w:b/>
              </w:rPr>
            </w:pPr>
            <w:r>
              <w:rPr>
                <w:b/>
              </w:rPr>
              <w:t>$</w:t>
            </w:r>
          </w:p>
        </w:tc>
        <w:tc>
          <w:tcPr>
            <w:tcW w:w="1057" w:type="dxa"/>
            <w:tcBorders/>
            <w:shd w:fill="CCEEFF" w:val="clear"/>
            <w:vAlign w:val="bottom"/>
          </w:tcPr>
          <w:p>
            <w:pPr>
              <w:pStyle w:val="TableContents"/>
              <w:bidi w:val="0"/>
              <w:spacing w:before="0" w:after="0"/>
              <w:jc w:val="right"/>
              <w:rPr>
                <w:b/>
              </w:rPr>
            </w:pPr>
            <w:r>
              <w:rPr>
                <w:b/>
              </w:rPr>
              <w:t>60</w:t>
            </w:r>
          </w:p>
        </w:tc>
        <w:tc>
          <w:tcPr>
            <w:tcW w:w="432" w:type="dxa"/>
            <w:tcBorders/>
            <w:shd w:fill="CCEEFF" w:val="cle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7cb23fb88cf34de0a7a966c50a4a94bb"/>
      <w:bookmarkStart w:id="33" w:name="z7cb23fb88cf34de0a7a966c50a4a94bb"/>
      <w:bookmarkEnd w:id="33"/>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b/>
                <w:sz w:val="20"/>
              </w:rPr>
            </w:pPr>
            <w:r>
              <w:rPr>
                <w:b/>
                <w:sz w:val="20"/>
              </w:rPr>
              <w:t>(1)</w:t>
            </w:r>
          </w:p>
        </w:tc>
        <w:tc>
          <w:tcPr>
            <w:tcW w:w="10001" w:type="dxa"/>
            <w:tcBorders/>
            <w:vAlign w:val="center"/>
          </w:tcPr>
          <w:p>
            <w:pPr>
              <w:pStyle w:val="TableContents"/>
              <w:bidi w:val="0"/>
              <w:spacing w:before="0" w:after="0"/>
              <w:jc w:val="left"/>
              <w:rPr>
                <w:sz w:val="20"/>
              </w:rPr>
            </w:pPr>
            <w:r>
              <w:rPr>
                <w:sz w:val="20"/>
              </w:rPr>
              <w:t>Supplemental financial measures that are not required by, or presented in accordance with, accounting principles generally accepted in the United States (“GAAP”).  These non-GAAP financial measures should not be considered as alternatives to operating or net income or cash flows from operating activities, in each case determined in accordance with GAAP.  Comparable basis measures exclude the impact of currency translation effects and acquisitions.  These non-GAAP financial measures may be calculated differently by other companies, including other companies in our industry, limiting their usefulness as comparative measures.  Management believes that Adjusted EBITDA and other non-GAAP financial measures are useful to our investors because they allow for a better period-over-period comparison of operating results by removing the impact of items that, in management’s view, do not reflect our core operating performance. We define “free cash flow” as cash flow from operating activities less net additions to property, plant, and equipment.  We believe free cash flow is useful to an investor in evaluating our liquidity because free cash flow and similar measures are widely used by investors, securities analysts, and other interested parties in our industry to measure a company’s liquidity.  We believe free cash flow is also useful to an investor in evaluating our liquidity as it can assist in assessing a company’s ability to fund its growth through its generation of cash and as pre-merger cash flow is not indicative of our current structure and operations.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4b97ed61c9c74ccd878d2d3af8b53e4f"/>
      <w:bookmarkStart w:id="35" w:name="z4b97ed61c9c74ccd878d2d3af8b53e4f"/>
      <w:bookmarkEnd w:id="35"/>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0"/>
              <w:jc w:val="left"/>
              <w:rPr/>
            </w:pPr>
            <w:r>
              <w:rPr/>
            </w:r>
          </w:p>
        </w:tc>
        <w:tc>
          <w:tcPr>
            <w:tcW w:w="10167" w:type="dxa"/>
            <w:tcBorders/>
            <w:vAlign w:val="center"/>
          </w:tcPr>
          <w:p>
            <w:pPr>
              <w:pStyle w:val="TableContents"/>
              <w:bidi w:val="0"/>
              <w:spacing w:before="0" w:after="0"/>
              <w:jc w:val="left"/>
              <w:rPr/>
            </w:pPr>
            <w:r>
              <w:rPr/>
              <w:t>We also use Adjusted EBITDA and comparable basis measures, among other measures, to evaluate management performance and in determining performance-based compensation.  Adjusted EBITDA is a measure widely used by investors, securities analysts, and other interested parties in our industry to measure a company’s performance.  We also believe these measures are useful to an investor in evaluating our performance without regard to revenue and expense recognition, which can vary depending upon accounting methods.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0465d37b2c5b45d799dc5876d5d4fa96"/>
      <w:bookmarkStart w:id="37" w:name="z0465d37b2c5b45d799dc5876d5d4fa96"/>
      <w:bookmarkEnd w:id="37"/>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b/>
                <w:sz w:val="20"/>
              </w:rPr>
            </w:pPr>
            <w:r>
              <w:rPr>
                <w:b/>
                <w:sz w:val="20"/>
              </w:rPr>
              <w:t>(2)</w:t>
            </w:r>
          </w:p>
        </w:tc>
        <w:tc>
          <w:tcPr>
            <w:tcW w:w="9956" w:type="dxa"/>
            <w:tcBorders/>
            <w:vAlign w:val="center"/>
          </w:tcPr>
          <w:p>
            <w:pPr>
              <w:pStyle w:val="TableContents"/>
              <w:bidi w:val="0"/>
              <w:spacing w:before="0" w:after="0"/>
              <w:jc w:val="left"/>
              <w:rPr>
                <w:sz w:val="20"/>
              </w:rPr>
            </w:pPr>
            <w:r>
              <w:rPr>
                <w:sz w:val="20"/>
              </w:rPr>
              <w:t>Includes restructuring, business optimization and other charges, which includes $17 million of transaction compensation expense in the prior year</w:t>
            </w:r>
          </w:p>
        </w:tc>
      </w:tr>
    </w:tbl>
    <w:p>
      <w:pPr>
        <w:pStyle w:val="Normal"/>
        <w:bidi w:val="0"/>
        <w:spacing w:before="0" w:after="0"/>
        <w:jc w:val="left"/>
        <w:rPr>
          <w:sz w:val="4"/>
          <w:szCs w:val="4"/>
        </w:rPr>
      </w:pPr>
      <w:r>
        <w:rPr>
          <w:sz w:val="4"/>
          <w:szCs w:val="4"/>
        </w:rPr>
      </w:r>
      <w:bookmarkStart w:id="38" w:name="zcdf53038be0f4544953cbc10b6074a6c"/>
      <w:bookmarkStart w:id="39" w:name="zcdf53038be0f4544953cbc10b6074a6c"/>
      <w:bookmarkEnd w:id="39"/>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b/>
                <w:sz w:val="20"/>
              </w:rPr>
            </w:pPr>
            <w:r>
              <w:rPr>
                <w:b/>
                <w:sz w:val="20"/>
              </w:rPr>
              <w:t>(3)</w:t>
            </w:r>
          </w:p>
        </w:tc>
        <w:tc>
          <w:tcPr>
            <w:tcW w:w="9959" w:type="dxa"/>
            <w:tcBorders/>
            <w:vAlign w:val="center"/>
          </w:tcPr>
          <w:p>
            <w:pPr>
              <w:pStyle w:val="TableContents"/>
              <w:bidi w:val="0"/>
              <w:spacing w:before="0" w:after="0"/>
              <w:jc w:val="left"/>
              <w:rPr>
                <w:sz w:val="20"/>
              </w:rPr>
            </w:pPr>
            <w:r>
              <w:rPr>
                <w:sz w:val="20"/>
              </w:rPr>
              <w:t>Consists of estimated parent-allocated charges for the period prior to merger which is required by GAAP as part of the carve-out financial statement process</w:t>
            </w:r>
          </w:p>
        </w:tc>
      </w:tr>
    </w:tbl>
    <w:p>
      <w:pPr>
        <w:pStyle w:val="Normal"/>
        <w:bidi w:val="0"/>
        <w:spacing w:before="0" w:after="0"/>
        <w:jc w:val="left"/>
        <w:rPr>
          <w:sz w:val="4"/>
          <w:szCs w:val="4"/>
        </w:rPr>
      </w:pPr>
      <w:r>
        <w:rPr>
          <w:sz w:val="4"/>
          <w:szCs w:val="4"/>
        </w:rPr>
      </w:r>
      <w:bookmarkStart w:id="40" w:name="zc6e1f3a08e3b488a85569a021a9f2e5d"/>
      <w:bookmarkStart w:id="41" w:name="zc6e1f3a08e3b488a85569a021a9f2e5d"/>
      <w:bookmarkEnd w:id="41"/>
    </w:p>
    <w:tbl>
      <w:tblPr>
        <w:tblW w:w="8845" w:type="dxa"/>
        <w:jc w:val="left"/>
        <w:tblInd w:w="0" w:type="dxa"/>
        <w:tblLayout w:type="fixed"/>
        <w:tblCellMar>
          <w:top w:w="0" w:type="dxa"/>
          <w:left w:w="0" w:type="dxa"/>
          <w:bottom w:w="0" w:type="dxa"/>
          <w:right w:w="0" w:type="dxa"/>
        </w:tblCellMar>
      </w:tblPr>
      <w:tblGrid>
        <w:gridCol w:w="260"/>
        <w:gridCol w:w="8585"/>
      </w:tblGrid>
      <w:tr>
        <w:trPr/>
        <w:tc>
          <w:tcPr>
            <w:tcW w:w="260" w:type="dxa"/>
            <w:tcBorders/>
            <w:vAlign w:val="center"/>
          </w:tcPr>
          <w:p>
            <w:pPr>
              <w:pStyle w:val="TableContents"/>
              <w:bidi w:val="0"/>
              <w:spacing w:before="0" w:after="0"/>
              <w:jc w:val="left"/>
              <w:rPr>
                <w:b/>
                <w:sz w:val="20"/>
              </w:rPr>
            </w:pPr>
            <w:r>
              <w:rPr>
                <w:b/>
                <w:sz w:val="20"/>
              </w:rPr>
              <w:t>(4)</w:t>
            </w:r>
          </w:p>
        </w:tc>
        <w:tc>
          <w:tcPr>
            <w:tcW w:w="8585" w:type="dxa"/>
            <w:tcBorders/>
            <w:vAlign w:val="center"/>
          </w:tcPr>
          <w:p>
            <w:pPr>
              <w:pStyle w:val="TableContents"/>
              <w:bidi w:val="0"/>
              <w:spacing w:before="0" w:after="0"/>
              <w:jc w:val="left"/>
              <w:rPr>
                <w:sz w:val="20"/>
              </w:rPr>
            </w:pPr>
            <w:r>
              <w:rPr>
                <w:sz w:val="20"/>
              </w:rPr>
              <w:t>Prior year includes $12 million inventory step-up charge related to the merger and other non-cash charges</w:t>
            </w:r>
          </w:p>
        </w:tc>
      </w:tr>
    </w:tbl>
    <w:p>
      <w:pPr>
        <w:pStyle w:val="Normal"/>
        <w:bidi w:val="0"/>
        <w:spacing w:before="0" w:after="0"/>
        <w:jc w:val="left"/>
        <w:rPr>
          <w:sz w:val="4"/>
          <w:szCs w:val="4"/>
        </w:rPr>
      </w:pPr>
      <w:r>
        <w:rPr>
          <w:sz w:val="4"/>
          <w:szCs w:val="4"/>
        </w:rPr>
      </w:r>
      <w:bookmarkStart w:id="42" w:name="z26a1e854657f4a89b119b53fc51cf396"/>
      <w:bookmarkStart w:id="43" w:name="z26a1e854657f4a89b119b53fc51cf396"/>
      <w:bookmarkEnd w:id="43"/>
    </w:p>
    <w:tbl>
      <w:tblPr>
        <w:tblW w:w="5410" w:type="dxa"/>
        <w:jc w:val="left"/>
        <w:tblInd w:w="0" w:type="dxa"/>
        <w:tblLayout w:type="fixed"/>
        <w:tblCellMar>
          <w:top w:w="0" w:type="dxa"/>
          <w:left w:w="0" w:type="dxa"/>
          <w:bottom w:w="0" w:type="dxa"/>
          <w:right w:w="0" w:type="dxa"/>
        </w:tblCellMar>
      </w:tblPr>
      <w:tblGrid>
        <w:gridCol w:w="260"/>
        <w:gridCol w:w="5150"/>
      </w:tblGrid>
      <w:tr>
        <w:trPr/>
        <w:tc>
          <w:tcPr>
            <w:tcW w:w="260" w:type="dxa"/>
            <w:tcBorders/>
            <w:vAlign w:val="center"/>
          </w:tcPr>
          <w:p>
            <w:pPr>
              <w:pStyle w:val="TableContents"/>
              <w:bidi w:val="0"/>
              <w:spacing w:before="0" w:after="0"/>
              <w:jc w:val="left"/>
              <w:rPr>
                <w:b/>
                <w:sz w:val="20"/>
              </w:rPr>
            </w:pPr>
            <w:r>
              <w:rPr>
                <w:b/>
                <w:sz w:val="20"/>
              </w:rPr>
              <w:t>(5)</w:t>
            </w:r>
          </w:p>
        </w:tc>
        <w:tc>
          <w:tcPr>
            <w:tcW w:w="5150" w:type="dxa"/>
            <w:tcBorders/>
            <w:vAlign w:val="center"/>
          </w:tcPr>
          <w:p>
            <w:pPr>
              <w:pStyle w:val="TableContents"/>
              <w:bidi w:val="0"/>
              <w:spacing w:before="0" w:after="0"/>
              <w:jc w:val="left"/>
              <w:rPr>
                <w:sz w:val="20"/>
              </w:rPr>
            </w:pPr>
            <w:r>
              <w:rPr>
                <w:sz w:val="20"/>
              </w:rPr>
              <w:t>Includes stock compensation expense and equipment disposals</w:t>
            </w:r>
          </w:p>
        </w:tc>
      </w:tr>
    </w:tbl>
    <w:p>
      <w:pPr>
        <w:pStyle w:val="Normal"/>
        <w:bidi w:val="0"/>
        <w:spacing w:before="0" w:after="0"/>
        <w:jc w:val="left"/>
        <w:rPr>
          <w:sz w:val="4"/>
          <w:szCs w:val="4"/>
        </w:rPr>
      </w:pPr>
      <w:r>
        <w:rPr>
          <w:sz w:val="4"/>
          <w:szCs w:val="4"/>
        </w:rPr>
      </w:r>
      <w:bookmarkStart w:id="44" w:name="z39292d5c6d5142978e3c4e6afc0977f4"/>
      <w:bookmarkStart w:id="45" w:name="z39292d5c6d5142978e3c4e6afc0977f4"/>
      <w:bookmarkEnd w:id="45"/>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0"/>
              <w:jc w:val="left"/>
              <w:rPr>
                <w:b/>
                <w:sz w:val="20"/>
              </w:rPr>
            </w:pPr>
            <w:r>
              <w:rPr>
                <w:b/>
                <w:sz w:val="20"/>
              </w:rPr>
              <w:t>(6)</w:t>
            </w:r>
          </w:p>
        </w:tc>
        <w:tc>
          <w:tcPr>
            <w:tcW w:w="8570" w:type="dxa"/>
            <w:tcBorders/>
            <w:vAlign w:val="center"/>
          </w:tcPr>
          <w:p>
            <w:pPr>
              <w:pStyle w:val="TableContents"/>
              <w:bidi w:val="0"/>
              <w:spacing w:before="0" w:after="0"/>
              <w:jc w:val="left"/>
              <w:rPr>
                <w:sz w:val="20"/>
              </w:rPr>
            </w:pPr>
            <w:r>
              <w:rPr>
                <w:sz w:val="20"/>
              </w:rPr>
              <w:t>The prior year comparable basis change excludes the impacts of foreign currency and acquisition/mergers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IR Contact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Robert Weilminster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EVP, Investor Relations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IR@magnera.com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5</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3180</Words>
  <Characters>16564</Characters>
  <CharactersWithSpaces>20494</CharactersWithSpaces>
  <Paragraphs>2073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